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9C91C" w14:textId="77777777" w:rsidR="00193702" w:rsidRPr="00611941" w:rsidRDefault="00611941" w:rsidP="00611941">
      <w:pPr>
        <w:jc w:val="center"/>
        <w:rPr>
          <w:b/>
        </w:rPr>
      </w:pPr>
      <w:r w:rsidRPr="00611941">
        <w:rPr>
          <w:b/>
        </w:rPr>
        <w:t>PEDIATRICS MATH EXAM</w:t>
      </w:r>
      <w:r w:rsidR="003567C8">
        <w:rPr>
          <w:b/>
        </w:rPr>
        <w:t>- THURSDAY students only- registered for HY2 with Dr. Riggi</w:t>
      </w:r>
    </w:p>
    <w:p w14:paraId="52651235" w14:textId="77777777" w:rsidR="00611941" w:rsidRDefault="00611941" w:rsidP="00611941">
      <w:pPr>
        <w:jc w:val="center"/>
        <w:rPr>
          <w:b/>
          <w:i/>
        </w:rPr>
      </w:pPr>
      <w:r>
        <w:rPr>
          <w:b/>
          <w:i/>
        </w:rPr>
        <w:t xml:space="preserve"> ATI </w:t>
      </w:r>
      <w:r w:rsidRPr="00611941">
        <w:rPr>
          <w:b/>
          <w:i/>
        </w:rPr>
        <w:t>NURSING CARE OF CHILDREN DOSAGE CALCULATION ASSESSMENT</w:t>
      </w:r>
    </w:p>
    <w:p w14:paraId="0A786FB2" w14:textId="5272E0A5" w:rsidR="00715E8E" w:rsidRDefault="00715E8E" w:rsidP="00715E8E">
      <w:pPr>
        <w:rPr>
          <w:sz w:val="24"/>
          <w:szCs w:val="24"/>
        </w:rPr>
      </w:pPr>
      <w:r w:rsidRPr="00715E8E">
        <w:rPr>
          <w:sz w:val="24"/>
          <w:szCs w:val="24"/>
          <w:u w:val="single"/>
        </w:rPr>
        <w:t>Assignment Expectations and Exam information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Students are expected to individually review and prepare for the </w:t>
      </w:r>
      <w:r w:rsidR="00F86CD8">
        <w:rPr>
          <w:sz w:val="24"/>
          <w:szCs w:val="24"/>
        </w:rPr>
        <w:t>m</w:t>
      </w:r>
      <w:r>
        <w:rPr>
          <w:sz w:val="24"/>
          <w:szCs w:val="24"/>
        </w:rPr>
        <w:t xml:space="preserve">ath </w:t>
      </w:r>
      <w:r w:rsidR="00970FF9">
        <w:rPr>
          <w:sz w:val="24"/>
          <w:szCs w:val="24"/>
        </w:rPr>
        <w:t xml:space="preserve">exam </w:t>
      </w:r>
      <w:r>
        <w:rPr>
          <w:sz w:val="24"/>
          <w:szCs w:val="24"/>
        </w:rPr>
        <w:t xml:space="preserve">using the resources provided.  </w:t>
      </w:r>
      <w:r w:rsidR="003567C8">
        <w:rPr>
          <w:sz w:val="24"/>
          <w:szCs w:val="24"/>
        </w:rPr>
        <w:t>Students will need to achieve benchmark on</w:t>
      </w:r>
      <w:r w:rsidR="00970FF9">
        <w:rPr>
          <w:sz w:val="24"/>
          <w:szCs w:val="24"/>
        </w:rPr>
        <w:t xml:space="preserve"> the proctored </w:t>
      </w:r>
      <w:r w:rsidR="003567C8">
        <w:rPr>
          <w:sz w:val="24"/>
          <w:szCs w:val="24"/>
        </w:rPr>
        <w:t xml:space="preserve">exam to start pediatric clinical.  </w:t>
      </w:r>
      <w:r>
        <w:rPr>
          <w:sz w:val="24"/>
          <w:szCs w:val="24"/>
        </w:rPr>
        <w:t xml:space="preserve">To prepare for the </w:t>
      </w:r>
      <w:r w:rsidR="00970FF9">
        <w:rPr>
          <w:sz w:val="24"/>
          <w:szCs w:val="24"/>
        </w:rPr>
        <w:t xml:space="preserve">proctored </w:t>
      </w:r>
      <w:r>
        <w:rPr>
          <w:sz w:val="24"/>
          <w:szCs w:val="24"/>
        </w:rPr>
        <w:t>pediatric math exam do the following:</w:t>
      </w:r>
    </w:p>
    <w:p w14:paraId="4961BD7B" w14:textId="77777777" w:rsidR="00715E8E" w:rsidRDefault="00715E8E" w:rsidP="00715E8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Review this document</w:t>
      </w:r>
    </w:p>
    <w:p w14:paraId="45AEEBE7" w14:textId="46DE92EA" w:rsidR="00715E8E" w:rsidRPr="00970FF9" w:rsidRDefault="00715E8E" w:rsidP="00715E8E">
      <w:pPr>
        <w:pStyle w:val="ListParagraph"/>
        <w:numPr>
          <w:ilvl w:val="0"/>
          <w:numId w:val="3"/>
        </w:numPr>
        <w:rPr>
          <w:b/>
          <w:color w:val="7030A0"/>
          <w:sz w:val="24"/>
          <w:szCs w:val="24"/>
        </w:rPr>
      </w:pPr>
      <w:r>
        <w:rPr>
          <w:sz w:val="24"/>
          <w:szCs w:val="24"/>
        </w:rPr>
        <w:t>Complete the</w:t>
      </w:r>
      <w:r w:rsidR="003567C8">
        <w:rPr>
          <w:sz w:val="24"/>
          <w:szCs w:val="24"/>
        </w:rPr>
        <w:t xml:space="preserve"> </w:t>
      </w:r>
      <w:r w:rsidR="009A40E1">
        <w:rPr>
          <w:sz w:val="24"/>
          <w:szCs w:val="24"/>
        </w:rPr>
        <w:t>ATI, 25-question</w:t>
      </w:r>
      <w:r w:rsidR="00F86CD8">
        <w:rPr>
          <w:sz w:val="24"/>
          <w:szCs w:val="24"/>
        </w:rPr>
        <w:t xml:space="preserve"> </w:t>
      </w:r>
      <w:r w:rsidR="009A40E1">
        <w:rPr>
          <w:sz w:val="24"/>
          <w:szCs w:val="24"/>
        </w:rPr>
        <w:t xml:space="preserve">exam </w:t>
      </w:r>
      <w:r w:rsidR="00F86CD8">
        <w:rPr>
          <w:sz w:val="24"/>
          <w:szCs w:val="24"/>
        </w:rPr>
        <w:t>titled</w:t>
      </w:r>
      <w:r>
        <w:rPr>
          <w:sz w:val="24"/>
          <w:szCs w:val="24"/>
        </w:rPr>
        <w:t xml:space="preserve"> </w:t>
      </w:r>
      <w:r w:rsidRPr="00970FF9">
        <w:rPr>
          <w:b/>
          <w:i/>
          <w:color w:val="7030A0"/>
          <w:sz w:val="24"/>
          <w:szCs w:val="24"/>
        </w:rPr>
        <w:t>Dosage Calculation RN Nursing Care of Children Online Practice Assessment 3.0</w:t>
      </w:r>
      <w:r w:rsidR="00970FF9" w:rsidRPr="00970FF9">
        <w:rPr>
          <w:b/>
          <w:color w:val="7030A0"/>
          <w:sz w:val="24"/>
          <w:szCs w:val="24"/>
        </w:rPr>
        <w:t xml:space="preserve"> </w:t>
      </w:r>
      <w:r w:rsidR="00F86CD8" w:rsidRPr="00F86CD8">
        <w:rPr>
          <w:sz w:val="24"/>
          <w:szCs w:val="24"/>
        </w:rPr>
        <w:t>(located under ATI</w:t>
      </w:r>
      <w:r w:rsidR="00F86CD8">
        <w:rPr>
          <w:sz w:val="24"/>
          <w:szCs w:val="24"/>
        </w:rPr>
        <w:t xml:space="preserve"> website</w:t>
      </w:r>
      <w:r w:rsidR="00F86CD8" w:rsidRPr="00F86CD8">
        <w:rPr>
          <w:sz w:val="24"/>
          <w:szCs w:val="24"/>
        </w:rPr>
        <w:t>, assessments)</w:t>
      </w:r>
    </w:p>
    <w:p w14:paraId="629CDD0D" w14:textId="1CD56399" w:rsidR="003567C8" w:rsidRDefault="003567C8" w:rsidP="00715E8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Upload your results report in Canvas for a completion grade (complete/incomplete)</w:t>
      </w:r>
      <w:r w:rsidR="00970FF9">
        <w:rPr>
          <w:sz w:val="24"/>
          <w:szCs w:val="24"/>
        </w:rPr>
        <w:t xml:space="preserve">.  This is </w:t>
      </w:r>
      <w:r w:rsidR="00970FF9" w:rsidRPr="00970FF9">
        <w:rPr>
          <w:b/>
          <w:color w:val="7030A0"/>
          <w:sz w:val="24"/>
          <w:szCs w:val="24"/>
        </w:rPr>
        <w:t>due by</w:t>
      </w:r>
      <w:r w:rsidR="00970FF9">
        <w:rPr>
          <w:sz w:val="24"/>
          <w:szCs w:val="24"/>
        </w:rPr>
        <w:t xml:space="preserve"> </w:t>
      </w:r>
      <w:r w:rsidR="00970FF9" w:rsidRPr="00970FF9">
        <w:rPr>
          <w:b/>
          <w:color w:val="7030A0"/>
          <w:sz w:val="24"/>
          <w:szCs w:val="24"/>
          <w:u w:val="single"/>
        </w:rPr>
        <w:t xml:space="preserve">Thursday, </w:t>
      </w:r>
      <w:r w:rsidR="00225370">
        <w:rPr>
          <w:b/>
          <w:color w:val="7030A0"/>
          <w:sz w:val="24"/>
          <w:szCs w:val="24"/>
          <w:u w:val="single"/>
        </w:rPr>
        <w:t>January 11</w:t>
      </w:r>
      <w:r w:rsidR="00970FF9" w:rsidRPr="00970FF9">
        <w:rPr>
          <w:b/>
          <w:color w:val="7030A0"/>
          <w:sz w:val="24"/>
          <w:szCs w:val="24"/>
          <w:u w:val="single"/>
          <w:vertAlign w:val="superscript"/>
        </w:rPr>
        <w:t>th</w:t>
      </w:r>
      <w:r w:rsidR="00970FF9" w:rsidRPr="00970FF9">
        <w:rPr>
          <w:b/>
          <w:color w:val="7030A0"/>
          <w:sz w:val="24"/>
          <w:szCs w:val="24"/>
          <w:u w:val="single"/>
        </w:rPr>
        <w:t xml:space="preserve"> at 8:59am</w:t>
      </w:r>
    </w:p>
    <w:p w14:paraId="36D91749" w14:textId="7E422455" w:rsidR="003567C8" w:rsidRDefault="003567C8" w:rsidP="003567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(please note the drop box will not be available until the course opens)</w:t>
      </w:r>
    </w:p>
    <w:p w14:paraId="415F2403" w14:textId="77777777" w:rsidR="00715E8E" w:rsidRDefault="00715E8E" w:rsidP="00715E8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Study the content you did not perform well on.</w:t>
      </w:r>
    </w:p>
    <w:p w14:paraId="79F54E6B" w14:textId="77777777" w:rsidR="00715E8E" w:rsidRDefault="00715E8E" w:rsidP="00715E8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Retake the exam as many times as needed until you are able to understand and ans</w:t>
      </w:r>
      <w:r w:rsidR="003567C8">
        <w:rPr>
          <w:sz w:val="24"/>
          <w:szCs w:val="24"/>
        </w:rPr>
        <w:t>wer all of the questions correctly.</w:t>
      </w:r>
    </w:p>
    <w:p w14:paraId="52CE5C13" w14:textId="79DB0AA2" w:rsidR="003567C8" w:rsidRPr="00715E8E" w:rsidRDefault="003567C8" w:rsidP="00715E8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Take the </w:t>
      </w:r>
      <w:r w:rsidRPr="00970FF9">
        <w:rPr>
          <w:b/>
          <w:color w:val="C00000"/>
          <w:sz w:val="24"/>
          <w:szCs w:val="24"/>
        </w:rPr>
        <w:t>proctored dosage calc exam for Nursing Care of Children</w:t>
      </w:r>
      <w:r>
        <w:rPr>
          <w:sz w:val="24"/>
          <w:szCs w:val="24"/>
        </w:rPr>
        <w:t xml:space="preserve"> on </w:t>
      </w:r>
      <w:r w:rsidRPr="00970FF9">
        <w:rPr>
          <w:b/>
          <w:color w:val="C00000"/>
          <w:sz w:val="24"/>
          <w:szCs w:val="24"/>
          <w:u w:val="single"/>
        </w:rPr>
        <w:t xml:space="preserve">Tuesday, </w:t>
      </w:r>
      <w:r w:rsidR="00225370">
        <w:rPr>
          <w:b/>
          <w:color w:val="C00000"/>
          <w:sz w:val="24"/>
          <w:szCs w:val="24"/>
          <w:u w:val="single"/>
        </w:rPr>
        <w:t>January 16</w:t>
      </w:r>
      <w:r w:rsidR="00225370" w:rsidRPr="00225370">
        <w:rPr>
          <w:b/>
          <w:color w:val="C00000"/>
          <w:sz w:val="24"/>
          <w:szCs w:val="24"/>
          <w:u w:val="single"/>
          <w:vertAlign w:val="superscript"/>
        </w:rPr>
        <w:t>th</w:t>
      </w:r>
      <w:r w:rsidR="00225370">
        <w:rPr>
          <w:b/>
          <w:color w:val="C00000"/>
          <w:sz w:val="24"/>
          <w:szCs w:val="24"/>
          <w:u w:val="single"/>
        </w:rPr>
        <w:t>,</w:t>
      </w:r>
      <w:r w:rsidRPr="00970FF9">
        <w:rPr>
          <w:b/>
          <w:color w:val="C00000"/>
          <w:sz w:val="24"/>
          <w:szCs w:val="24"/>
          <w:u w:val="single"/>
        </w:rPr>
        <w:t xml:space="preserve"> 2023 at 8am</w:t>
      </w:r>
      <w:r w:rsidRPr="00970FF9">
        <w:rPr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>in the Hanley Computer Lab in the library.</w:t>
      </w:r>
    </w:p>
    <w:p w14:paraId="51AF32D2" w14:textId="77777777" w:rsidR="00611941" w:rsidRPr="00611941" w:rsidRDefault="003567C8" w:rsidP="00611941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Proctored </w:t>
      </w:r>
      <w:r w:rsidR="00611941" w:rsidRPr="00611941">
        <w:rPr>
          <w:sz w:val="24"/>
          <w:szCs w:val="24"/>
          <w:u w:val="single"/>
        </w:rPr>
        <w:t>Exam Description</w:t>
      </w:r>
      <w:r w:rsidR="00611941" w:rsidRPr="00611941">
        <w:rPr>
          <w:sz w:val="24"/>
          <w:szCs w:val="24"/>
        </w:rPr>
        <w:t>: This 35-item assessment addresses drug calculations and conversions used when caring for pediatric clients. Items reflect a client focus that supports safe administration of a dosage that is based on the weight of clients who range in age from newborn to 18 years of age.</w:t>
      </w:r>
    </w:p>
    <w:p w14:paraId="493D8E09" w14:textId="77777777" w:rsidR="00611941" w:rsidRPr="00611941" w:rsidRDefault="00611941" w:rsidP="00611941">
      <w:pPr>
        <w:spacing w:line="240" w:lineRule="auto"/>
        <w:rPr>
          <w:sz w:val="24"/>
          <w:szCs w:val="24"/>
        </w:rPr>
      </w:pPr>
      <w:r w:rsidRPr="00611941">
        <w:rPr>
          <w:sz w:val="24"/>
          <w:szCs w:val="24"/>
        </w:rPr>
        <w:t>Each assessment has 25 scored items and 10 pretest items and a time limit of 90 minutes</w:t>
      </w:r>
    </w:p>
    <w:p w14:paraId="597ED0C0" w14:textId="77777777" w:rsidR="00611941" w:rsidRPr="00611941" w:rsidRDefault="00611941" w:rsidP="00611941">
      <w:pPr>
        <w:spacing w:line="240" w:lineRule="auto"/>
        <w:rPr>
          <w:sz w:val="24"/>
          <w:szCs w:val="24"/>
        </w:rPr>
      </w:pPr>
      <w:r w:rsidRPr="00611941">
        <w:rPr>
          <w:sz w:val="24"/>
          <w:szCs w:val="24"/>
        </w:rPr>
        <w:t>The majority of items are fill-in-the-blank questions requiring a calculation.  Multiple choice item format is also used.</w:t>
      </w:r>
    </w:p>
    <w:p w14:paraId="711B3BA6" w14:textId="77777777" w:rsidR="00611941" w:rsidRPr="00611941" w:rsidRDefault="00611941" w:rsidP="00611941">
      <w:pPr>
        <w:rPr>
          <w:sz w:val="24"/>
          <w:szCs w:val="24"/>
          <w:u w:val="single"/>
        </w:rPr>
      </w:pPr>
      <w:r w:rsidRPr="00611941">
        <w:rPr>
          <w:sz w:val="24"/>
          <w:szCs w:val="24"/>
          <w:u w:val="single"/>
        </w:rPr>
        <w:t>Content Areas:</w:t>
      </w:r>
    </w:p>
    <w:p w14:paraId="3CCC50B5" w14:textId="77777777" w:rsidR="00611941" w:rsidRPr="00611941" w:rsidRDefault="00611941" w:rsidP="006119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1941">
        <w:rPr>
          <w:sz w:val="24"/>
          <w:szCs w:val="24"/>
        </w:rPr>
        <w:t>Convert quantities between units of measure (metric, household).</w:t>
      </w:r>
    </w:p>
    <w:p w14:paraId="0540FDE8" w14:textId="77777777" w:rsidR="00611941" w:rsidRPr="00611941" w:rsidRDefault="00611941" w:rsidP="006119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1941">
        <w:rPr>
          <w:rFonts w:cs="TERUE F+ Avenir LT Std"/>
          <w:color w:val="000000"/>
          <w:sz w:val="24"/>
          <w:szCs w:val="24"/>
        </w:rPr>
        <w:t xml:space="preserve">Convert quantities within the metric system (e.g., g to mg). </w:t>
      </w:r>
    </w:p>
    <w:p w14:paraId="29597211" w14:textId="77777777" w:rsidR="00611941" w:rsidRPr="00611941" w:rsidRDefault="00611941" w:rsidP="006119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1941">
        <w:rPr>
          <w:sz w:val="24"/>
          <w:szCs w:val="24"/>
        </w:rPr>
        <w:t>Interpret components of medication label(s).</w:t>
      </w:r>
    </w:p>
    <w:p w14:paraId="6779C646" w14:textId="77777777" w:rsidR="00611941" w:rsidRPr="00611941" w:rsidRDefault="00611941" w:rsidP="006119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1941">
        <w:rPr>
          <w:sz w:val="24"/>
          <w:szCs w:val="24"/>
        </w:rPr>
        <w:t>Interpret medication order(s).</w:t>
      </w:r>
    </w:p>
    <w:p w14:paraId="45B84BF0" w14:textId="77777777" w:rsidR="00611941" w:rsidRPr="00611941" w:rsidRDefault="00611941" w:rsidP="006119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1941">
        <w:rPr>
          <w:sz w:val="24"/>
          <w:szCs w:val="24"/>
        </w:rPr>
        <w:t>Calculate basic oral dosage.</w:t>
      </w:r>
    </w:p>
    <w:p w14:paraId="4A460E3A" w14:textId="77777777" w:rsidR="00611941" w:rsidRPr="00611941" w:rsidRDefault="00611941" w:rsidP="006119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1941">
        <w:rPr>
          <w:sz w:val="24"/>
          <w:szCs w:val="24"/>
        </w:rPr>
        <w:t>Calculate basic liquid parenteral dosage.</w:t>
      </w:r>
    </w:p>
    <w:p w14:paraId="7C9CB151" w14:textId="77777777" w:rsidR="00611941" w:rsidRPr="00611941" w:rsidRDefault="00611941" w:rsidP="006119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1941">
        <w:rPr>
          <w:sz w:val="24"/>
          <w:szCs w:val="24"/>
        </w:rPr>
        <w:t>Calculate basic powdered parenteral dosage.</w:t>
      </w:r>
    </w:p>
    <w:p w14:paraId="224B5FFF" w14:textId="77777777" w:rsidR="00611941" w:rsidRPr="00611941" w:rsidRDefault="00611941" w:rsidP="006119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1941">
        <w:rPr>
          <w:sz w:val="24"/>
          <w:szCs w:val="24"/>
        </w:rPr>
        <w:t xml:space="preserve">Calculate dosage by weight – oral (convert from kg to </w:t>
      </w:r>
      <w:proofErr w:type="spellStart"/>
      <w:r w:rsidRPr="00611941">
        <w:rPr>
          <w:sz w:val="24"/>
          <w:szCs w:val="24"/>
        </w:rPr>
        <w:t>lb</w:t>
      </w:r>
      <w:proofErr w:type="spellEnd"/>
      <w:r w:rsidRPr="00611941">
        <w:rPr>
          <w:sz w:val="24"/>
          <w:szCs w:val="24"/>
        </w:rPr>
        <w:t xml:space="preserve"> and </w:t>
      </w:r>
      <w:proofErr w:type="spellStart"/>
      <w:r w:rsidRPr="00611941">
        <w:rPr>
          <w:sz w:val="24"/>
          <w:szCs w:val="24"/>
        </w:rPr>
        <w:t>lb</w:t>
      </w:r>
      <w:proofErr w:type="spellEnd"/>
      <w:r w:rsidRPr="00611941">
        <w:rPr>
          <w:sz w:val="24"/>
          <w:szCs w:val="24"/>
        </w:rPr>
        <w:t xml:space="preserve"> to kg).</w:t>
      </w:r>
    </w:p>
    <w:p w14:paraId="40AE7EF2" w14:textId="77777777" w:rsidR="00611941" w:rsidRPr="00611941" w:rsidRDefault="00611941" w:rsidP="006119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1941">
        <w:rPr>
          <w:sz w:val="24"/>
          <w:szCs w:val="24"/>
        </w:rPr>
        <w:t xml:space="preserve">Calculate dosage by weight – non-intravenous parenteral (convert from kg to </w:t>
      </w:r>
      <w:proofErr w:type="spellStart"/>
      <w:r w:rsidRPr="00611941">
        <w:rPr>
          <w:sz w:val="24"/>
          <w:szCs w:val="24"/>
        </w:rPr>
        <w:t>lb</w:t>
      </w:r>
      <w:proofErr w:type="spellEnd"/>
      <w:r w:rsidRPr="00611941">
        <w:rPr>
          <w:sz w:val="24"/>
          <w:szCs w:val="24"/>
        </w:rPr>
        <w:t xml:space="preserve"> and </w:t>
      </w:r>
      <w:proofErr w:type="spellStart"/>
      <w:r w:rsidRPr="00611941">
        <w:rPr>
          <w:sz w:val="24"/>
          <w:szCs w:val="24"/>
        </w:rPr>
        <w:t>lb</w:t>
      </w:r>
      <w:proofErr w:type="spellEnd"/>
      <w:r w:rsidRPr="00611941">
        <w:rPr>
          <w:sz w:val="24"/>
          <w:szCs w:val="24"/>
        </w:rPr>
        <w:t xml:space="preserve"> to kg).</w:t>
      </w:r>
    </w:p>
    <w:p w14:paraId="0148E46E" w14:textId="77777777" w:rsidR="00611941" w:rsidRPr="00611941" w:rsidRDefault="00611941" w:rsidP="006119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1941">
        <w:rPr>
          <w:sz w:val="24"/>
          <w:szCs w:val="24"/>
        </w:rPr>
        <w:t xml:space="preserve">Calculate by weight – intravenous parenteral (covert from kg to </w:t>
      </w:r>
      <w:proofErr w:type="spellStart"/>
      <w:r w:rsidRPr="00611941">
        <w:rPr>
          <w:sz w:val="24"/>
          <w:szCs w:val="24"/>
        </w:rPr>
        <w:t>lb</w:t>
      </w:r>
      <w:proofErr w:type="spellEnd"/>
      <w:r w:rsidRPr="00611941">
        <w:rPr>
          <w:sz w:val="24"/>
          <w:szCs w:val="24"/>
        </w:rPr>
        <w:t xml:space="preserve"> and </w:t>
      </w:r>
      <w:proofErr w:type="spellStart"/>
      <w:r w:rsidRPr="00611941">
        <w:rPr>
          <w:sz w:val="24"/>
          <w:szCs w:val="24"/>
        </w:rPr>
        <w:t>lb</w:t>
      </w:r>
      <w:proofErr w:type="spellEnd"/>
      <w:r w:rsidRPr="00611941">
        <w:rPr>
          <w:sz w:val="24"/>
          <w:szCs w:val="24"/>
        </w:rPr>
        <w:t xml:space="preserve"> to kg)</w:t>
      </w:r>
    </w:p>
    <w:p w14:paraId="6470139F" w14:textId="77777777" w:rsidR="00611941" w:rsidRDefault="00611941" w:rsidP="006119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1941">
        <w:rPr>
          <w:sz w:val="24"/>
          <w:szCs w:val="24"/>
        </w:rPr>
        <w:t>Calculate IV drip rate in mL/hr.</w:t>
      </w:r>
    </w:p>
    <w:p w14:paraId="3AAD956D" w14:textId="77777777" w:rsidR="0013465C" w:rsidRPr="0013465C" w:rsidRDefault="0013465C" w:rsidP="0013465C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13465C">
        <w:rPr>
          <w:rFonts w:cstheme="minorHAnsi"/>
          <w:sz w:val="24"/>
          <w:szCs w:val="24"/>
          <w:u w:val="single"/>
        </w:rPr>
        <w:lastRenderedPageBreak/>
        <w:t>You must know the following:</w:t>
      </w:r>
    </w:p>
    <w:p w14:paraId="304A53A9" w14:textId="77777777" w:rsidR="0013465C" w:rsidRPr="0013465C" w:rsidRDefault="0013465C" w:rsidP="0013465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13465C">
        <w:rPr>
          <w:rFonts w:cstheme="minorHAnsi"/>
          <w:sz w:val="24"/>
          <w:szCs w:val="24"/>
        </w:rPr>
        <w:t>1kg = 2.2lbs</w:t>
      </w:r>
    </w:p>
    <w:p w14:paraId="2E7844CD" w14:textId="77777777" w:rsidR="0013465C" w:rsidRPr="0013465C" w:rsidRDefault="0013465C" w:rsidP="0013465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13465C">
        <w:rPr>
          <w:rFonts w:cstheme="minorHAnsi"/>
          <w:sz w:val="24"/>
          <w:szCs w:val="24"/>
        </w:rPr>
        <w:t>1 teaspoon = 5ml</w:t>
      </w:r>
    </w:p>
    <w:p w14:paraId="56F42E1C" w14:textId="77777777" w:rsidR="0013465C" w:rsidRPr="0013465C" w:rsidRDefault="0013465C" w:rsidP="0013465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13465C">
        <w:rPr>
          <w:rFonts w:cstheme="minorHAnsi"/>
          <w:sz w:val="24"/>
          <w:szCs w:val="24"/>
        </w:rPr>
        <w:t>1 tablespoon= 15ml</w:t>
      </w:r>
    </w:p>
    <w:p w14:paraId="7099C681" w14:textId="77777777" w:rsidR="0013465C" w:rsidRPr="0013465C" w:rsidRDefault="0013465C" w:rsidP="0013465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13465C">
        <w:rPr>
          <w:rFonts w:cstheme="minorHAnsi"/>
          <w:sz w:val="24"/>
          <w:szCs w:val="24"/>
        </w:rPr>
        <w:t>1 ounce = 30ml</w:t>
      </w:r>
    </w:p>
    <w:p w14:paraId="56613700" w14:textId="77777777" w:rsidR="0013465C" w:rsidRPr="0013465C" w:rsidRDefault="0013465C" w:rsidP="0013465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13465C">
        <w:rPr>
          <w:rFonts w:cstheme="minorHAnsi"/>
          <w:sz w:val="24"/>
          <w:szCs w:val="24"/>
        </w:rPr>
        <w:t xml:space="preserve">16 oz = 1 </w:t>
      </w:r>
      <w:proofErr w:type="gramStart"/>
      <w:r w:rsidRPr="0013465C">
        <w:rPr>
          <w:rFonts w:cstheme="minorHAnsi"/>
          <w:sz w:val="24"/>
          <w:szCs w:val="24"/>
        </w:rPr>
        <w:t>pound</w:t>
      </w:r>
      <w:proofErr w:type="gramEnd"/>
      <w:r w:rsidRPr="0013465C">
        <w:rPr>
          <w:rFonts w:cstheme="minorHAnsi"/>
          <w:sz w:val="24"/>
          <w:szCs w:val="24"/>
        </w:rPr>
        <w:t xml:space="preserve"> (body weight)</w:t>
      </w:r>
    </w:p>
    <w:p w14:paraId="6A87E9D1" w14:textId="77777777" w:rsidR="0013465C" w:rsidRPr="0013465C" w:rsidRDefault="0013465C" w:rsidP="0013465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13465C">
        <w:rPr>
          <w:rFonts w:cstheme="minorHAnsi"/>
          <w:sz w:val="24"/>
          <w:szCs w:val="24"/>
        </w:rPr>
        <w:t>1L = 1000mL</w:t>
      </w:r>
    </w:p>
    <w:p w14:paraId="7B21E990" w14:textId="77777777" w:rsidR="0013465C" w:rsidRPr="0013465C" w:rsidRDefault="0013465C" w:rsidP="0013465C">
      <w:pPr>
        <w:rPr>
          <w:sz w:val="24"/>
          <w:szCs w:val="24"/>
        </w:rPr>
      </w:pPr>
    </w:p>
    <w:p w14:paraId="5F0A3611" w14:textId="77777777" w:rsidR="00611941" w:rsidRDefault="00611941" w:rsidP="00611941">
      <w:pPr>
        <w:rPr>
          <w:sz w:val="24"/>
          <w:szCs w:val="24"/>
          <w:u w:val="single"/>
        </w:rPr>
      </w:pPr>
      <w:r w:rsidRPr="00611941">
        <w:rPr>
          <w:sz w:val="24"/>
          <w:szCs w:val="24"/>
          <w:u w:val="single"/>
        </w:rPr>
        <w:t>Helpful information from your professor:</w:t>
      </w:r>
    </w:p>
    <w:p w14:paraId="25C914A7" w14:textId="77777777" w:rsidR="00611941" w:rsidRDefault="00611941" w:rsidP="00611941">
      <w:pPr>
        <w:rPr>
          <w:sz w:val="24"/>
          <w:szCs w:val="24"/>
        </w:rPr>
      </w:pPr>
      <w:r>
        <w:rPr>
          <w:sz w:val="24"/>
          <w:szCs w:val="24"/>
        </w:rPr>
        <w:t xml:space="preserve">No more PBA rounding rules! ATI will tell you </w:t>
      </w:r>
      <w:r w:rsidR="00970FF9">
        <w:rPr>
          <w:sz w:val="24"/>
          <w:szCs w:val="24"/>
        </w:rPr>
        <w:t xml:space="preserve">how </w:t>
      </w:r>
      <w:r>
        <w:rPr>
          <w:sz w:val="24"/>
          <w:szCs w:val="24"/>
        </w:rPr>
        <w:t>to round to on each individual question.  Go slow and read each question carefully.</w:t>
      </w:r>
    </w:p>
    <w:p w14:paraId="2E2A026B" w14:textId="77777777" w:rsidR="00715E8E" w:rsidRDefault="00715E8E" w:rsidP="00611941">
      <w:pPr>
        <w:rPr>
          <w:sz w:val="24"/>
          <w:szCs w:val="24"/>
        </w:rPr>
      </w:pPr>
    </w:p>
    <w:p w14:paraId="1CAB7BBF" w14:textId="77777777" w:rsidR="0013465C" w:rsidRDefault="0013465C" w:rsidP="00611941">
      <w:pPr>
        <w:rPr>
          <w:sz w:val="24"/>
          <w:szCs w:val="24"/>
        </w:rPr>
      </w:pPr>
      <w:r>
        <w:rPr>
          <w:sz w:val="24"/>
          <w:szCs w:val="24"/>
        </w:rPr>
        <w:t xml:space="preserve">One of the most important and unique aspects of pediatric drug administration is understanding the importance of weight-based dosing.  This means that </w:t>
      </w:r>
      <w:r w:rsidR="00970FF9">
        <w:rPr>
          <w:sz w:val="24"/>
          <w:szCs w:val="24"/>
        </w:rPr>
        <w:t>many</w:t>
      </w:r>
      <w:r>
        <w:rPr>
          <w:sz w:val="24"/>
          <w:szCs w:val="24"/>
        </w:rPr>
        <w:t xml:space="preserve"> of the questions on the exam will be calculating dosage by weight.  If you are struggling with these types of problems start by using this learning module in ATI</w:t>
      </w:r>
      <w:r w:rsidR="00715E8E">
        <w:rPr>
          <w:sz w:val="24"/>
          <w:szCs w:val="24"/>
        </w:rPr>
        <w:t>, go to:</w:t>
      </w:r>
    </w:p>
    <w:p w14:paraId="79B6FCB0" w14:textId="77777777" w:rsidR="0013465C" w:rsidRDefault="0013465C" w:rsidP="00611941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ATI study materials </w:t>
      </w:r>
      <w:r>
        <w:rPr>
          <w:rFonts w:cstheme="minorHAnsi"/>
          <w:sz w:val="24"/>
          <w:szCs w:val="24"/>
        </w:rPr>
        <w:t>→</w:t>
      </w:r>
      <w:r w:rsidR="00715E8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learn→</w:t>
      </w:r>
      <w:r w:rsidRPr="0013465C">
        <w:t xml:space="preserve"> </w:t>
      </w:r>
      <w:r w:rsidRPr="0013465C">
        <w:rPr>
          <w:rFonts w:cstheme="minorHAnsi"/>
          <w:sz w:val="24"/>
          <w:szCs w:val="24"/>
        </w:rPr>
        <w:t>Dosage Calculation and Safe Medication Administration</w:t>
      </w:r>
      <w:r>
        <w:rPr>
          <w:rFonts w:cstheme="minorHAnsi"/>
          <w:sz w:val="24"/>
          <w:szCs w:val="24"/>
        </w:rPr>
        <w:t>3.0</w:t>
      </w:r>
      <w:r w:rsidR="00715E8E">
        <w:rPr>
          <w:rFonts w:cstheme="minorHAnsi"/>
          <w:sz w:val="24"/>
          <w:szCs w:val="24"/>
        </w:rPr>
        <w:t xml:space="preserve"> → module → dosages by weight →begin lesson</w:t>
      </w:r>
    </w:p>
    <w:p w14:paraId="7C08F5E1" w14:textId="77777777" w:rsidR="00715E8E" w:rsidRDefault="00715E8E" w:rsidP="00611941">
      <w:pPr>
        <w:rPr>
          <w:rFonts w:cstheme="minorHAnsi"/>
          <w:sz w:val="24"/>
          <w:szCs w:val="24"/>
        </w:rPr>
      </w:pPr>
    </w:p>
    <w:p w14:paraId="7ECDA202" w14:textId="77777777" w:rsidR="00715E8E" w:rsidRDefault="00715E8E" w:rsidP="00611941">
      <w:pPr>
        <w:rPr>
          <w:rFonts w:cstheme="minorHAnsi"/>
          <w:sz w:val="24"/>
          <w:szCs w:val="24"/>
        </w:rPr>
      </w:pPr>
      <w:r w:rsidRPr="00715E8E">
        <w:rPr>
          <w:rFonts w:cstheme="minorHAnsi"/>
          <w:b/>
          <w:sz w:val="32"/>
          <w:szCs w:val="32"/>
          <w:u w:val="single"/>
        </w:rPr>
        <w:t>Take the practice exam seriously</w:t>
      </w:r>
      <w:r>
        <w:rPr>
          <w:rFonts w:cstheme="minorHAnsi"/>
          <w:sz w:val="24"/>
          <w:szCs w:val="24"/>
        </w:rPr>
        <w:t>.  This is your key to success.  When you miss a question on the practice exam, the exam will automatically show you how to compute the problem correctly.  Read this, write it down, go over it again</w:t>
      </w:r>
      <w:r w:rsidR="00970FF9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until you </w:t>
      </w:r>
      <w:r w:rsidRPr="00970FF9">
        <w:rPr>
          <w:rFonts w:cstheme="minorHAnsi"/>
          <w:sz w:val="24"/>
          <w:szCs w:val="24"/>
          <w:u w:val="single"/>
        </w:rPr>
        <w:t>understand i</w:t>
      </w:r>
      <w:r>
        <w:rPr>
          <w:rFonts w:cstheme="minorHAnsi"/>
          <w:sz w:val="24"/>
          <w:szCs w:val="24"/>
        </w:rPr>
        <w:t>t.  If you are having trouble, use the applicable learning module in the learn → dosage calc → module section of the ATI website.</w:t>
      </w:r>
      <w:r w:rsidR="00970FF9">
        <w:rPr>
          <w:rFonts w:cstheme="minorHAnsi"/>
          <w:sz w:val="24"/>
          <w:szCs w:val="24"/>
        </w:rPr>
        <w:t xml:space="preserve">  </w:t>
      </w:r>
    </w:p>
    <w:p w14:paraId="31CD2EDF" w14:textId="77777777" w:rsidR="00970FF9" w:rsidRDefault="00970FF9" w:rsidP="00611941">
      <w:pPr>
        <w:rPr>
          <w:rFonts w:cstheme="minorHAnsi"/>
          <w:sz w:val="24"/>
          <w:szCs w:val="24"/>
        </w:rPr>
      </w:pPr>
    </w:p>
    <w:p w14:paraId="278BFC80" w14:textId="398EB655" w:rsidR="00970FF9" w:rsidRDefault="00970FF9" w:rsidP="0061194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One last thing, there is a Nursing Care of Children </w:t>
      </w:r>
      <w:r w:rsidR="009A40E1">
        <w:rPr>
          <w:rFonts w:cstheme="minorHAnsi"/>
          <w:sz w:val="24"/>
          <w:szCs w:val="24"/>
        </w:rPr>
        <w:t xml:space="preserve">dosage calc </w:t>
      </w:r>
      <w:r>
        <w:rPr>
          <w:rFonts w:cstheme="minorHAnsi"/>
          <w:sz w:val="24"/>
          <w:szCs w:val="24"/>
        </w:rPr>
        <w:t>learning module in ATI.  This is important information and is testable material</w:t>
      </w:r>
      <w:r w:rsidR="00F86CD8">
        <w:rPr>
          <w:rFonts w:cstheme="minorHAnsi"/>
          <w:sz w:val="24"/>
          <w:szCs w:val="24"/>
        </w:rPr>
        <w:t xml:space="preserve"> later in the course.</w:t>
      </w:r>
      <w:r>
        <w:rPr>
          <w:rFonts w:cstheme="minorHAnsi"/>
          <w:sz w:val="24"/>
          <w:szCs w:val="24"/>
        </w:rPr>
        <w:t xml:space="preserve">  However, this material is not on the proctored assessment so save this module for a later date. </w:t>
      </w:r>
    </w:p>
    <w:p w14:paraId="7C5870DE" w14:textId="67EEE736" w:rsidR="00F86CD8" w:rsidRDefault="00F86CD8" w:rsidP="00611941">
      <w:pPr>
        <w:rPr>
          <w:rFonts w:cstheme="minorHAnsi"/>
          <w:sz w:val="24"/>
          <w:szCs w:val="24"/>
        </w:rPr>
      </w:pPr>
    </w:p>
    <w:p w14:paraId="5328F87B" w14:textId="1644831A" w:rsidR="00F86CD8" w:rsidRDefault="00F86CD8" w:rsidP="0061194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Email if you need me.  </w:t>
      </w:r>
      <w:r w:rsidR="009A40E1">
        <w:rPr>
          <w:rFonts w:cstheme="minorHAnsi"/>
          <w:sz w:val="24"/>
          <w:szCs w:val="24"/>
        </w:rPr>
        <w:t>I am looking forward to a great sub term A!</w:t>
      </w:r>
    </w:p>
    <w:p w14:paraId="5CC8456E" w14:textId="166F29BF" w:rsidR="00F86CD8" w:rsidRDefault="00F86CD8" w:rsidP="0061194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Dr. Riggi</w:t>
      </w:r>
      <w:r w:rsidR="00B03050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</w:p>
    <w:p w14:paraId="592108C4" w14:textId="517F1D1B" w:rsidR="00611941" w:rsidRPr="00B03050" w:rsidRDefault="00225370" w:rsidP="00611941">
      <w:pPr>
        <w:rPr>
          <w:rFonts w:cstheme="minorHAnsi"/>
          <w:sz w:val="24"/>
          <w:szCs w:val="24"/>
        </w:rPr>
      </w:pPr>
      <w:hyperlink r:id="rId9" w:history="1">
        <w:r w:rsidR="00F86CD8" w:rsidRPr="001F6C37">
          <w:rPr>
            <w:rStyle w:val="Hyperlink"/>
            <w:rFonts w:cstheme="minorHAnsi"/>
            <w:sz w:val="24"/>
            <w:szCs w:val="24"/>
          </w:rPr>
          <w:t>Kristen_Riggi@pba.edu</w:t>
        </w:r>
      </w:hyperlink>
    </w:p>
    <w:sectPr w:rsidR="00611941" w:rsidRPr="00B03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RUE F+ Avenir L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31CCA"/>
    <w:multiLevelType w:val="hybridMultilevel"/>
    <w:tmpl w:val="31588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4753A"/>
    <w:multiLevelType w:val="hybridMultilevel"/>
    <w:tmpl w:val="539E6210"/>
    <w:lvl w:ilvl="0" w:tplc="A5DA49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BC2F7D"/>
    <w:multiLevelType w:val="hybridMultilevel"/>
    <w:tmpl w:val="74F68B52"/>
    <w:lvl w:ilvl="0" w:tplc="67A0C3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941"/>
    <w:rsid w:val="0013465C"/>
    <w:rsid w:val="00225370"/>
    <w:rsid w:val="003567C8"/>
    <w:rsid w:val="005C6248"/>
    <w:rsid w:val="00611941"/>
    <w:rsid w:val="00715E8E"/>
    <w:rsid w:val="007B6369"/>
    <w:rsid w:val="0089574C"/>
    <w:rsid w:val="00970FF9"/>
    <w:rsid w:val="009A40E1"/>
    <w:rsid w:val="00B03050"/>
    <w:rsid w:val="00F8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EBD1B"/>
  <w15:chartTrackingRefBased/>
  <w15:docId w15:val="{4071753D-53D2-43D7-A988-AA53521F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941"/>
    <w:pPr>
      <w:ind w:left="720"/>
      <w:contextualSpacing/>
    </w:pPr>
  </w:style>
  <w:style w:type="paragraph" w:customStyle="1" w:styleId="Pa10">
    <w:name w:val="Pa10"/>
    <w:basedOn w:val="Normal"/>
    <w:next w:val="Normal"/>
    <w:uiPriority w:val="99"/>
    <w:rsid w:val="00611941"/>
    <w:pPr>
      <w:autoSpaceDE w:val="0"/>
      <w:autoSpaceDN w:val="0"/>
      <w:adjustRightInd w:val="0"/>
      <w:spacing w:after="0" w:line="221" w:lineRule="atLeast"/>
    </w:pPr>
    <w:rPr>
      <w:rFonts w:ascii="TERUE F+ Avenir LT Std" w:hAnsi="TERUE F+ Avenir LT St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6C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C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Kristen_Riggi@pb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e31c158-3e31-48a0-b878-b8dc0c5817f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FC7D1054A10C49906E101EF7604602" ma:contentTypeVersion="17" ma:contentTypeDescription="Create a new document." ma:contentTypeScope="" ma:versionID="f774b9b7313b81f378d94abd83914166">
  <xsd:schema xmlns:xsd="http://www.w3.org/2001/XMLSchema" xmlns:xs="http://www.w3.org/2001/XMLSchema" xmlns:p="http://schemas.microsoft.com/office/2006/metadata/properties" xmlns:ns3="be31c158-3e31-48a0-b878-b8dc0c5817f2" xmlns:ns4="4a0ffbf9-2e78-4183-8e7a-725da370b3ba" targetNamespace="http://schemas.microsoft.com/office/2006/metadata/properties" ma:root="true" ma:fieldsID="1bd21dfa9ba9f33020f6c6ca9f76383f" ns3:_="" ns4:_="">
    <xsd:import namespace="be31c158-3e31-48a0-b878-b8dc0c5817f2"/>
    <xsd:import namespace="4a0ffbf9-2e78-4183-8e7a-725da370b3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1c158-3e31-48a0-b878-b8dc0c5817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ffbf9-2e78-4183-8e7a-725da370b3ba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529A7-15FE-4933-B869-322E77BA49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6742DE-2465-4838-BE7A-3000CB6CB250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4a0ffbf9-2e78-4183-8e7a-725da370b3ba"/>
    <ds:schemaRef ds:uri="be31c158-3e31-48a0-b878-b8dc0c5817f2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5675CA8-1E2A-4597-B8AE-3A1E06EDA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1c158-3e31-48a0-b878-b8dc0c5817f2"/>
    <ds:schemaRef ds:uri="4a0ffbf9-2e78-4183-8e7a-725da370b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607AA5-8E86-4080-891E-1D65B3551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Riggi</dc:creator>
  <cp:keywords/>
  <dc:description/>
  <cp:lastModifiedBy>Kristen Riggi</cp:lastModifiedBy>
  <cp:revision>2</cp:revision>
  <dcterms:created xsi:type="dcterms:W3CDTF">2023-12-21T02:03:00Z</dcterms:created>
  <dcterms:modified xsi:type="dcterms:W3CDTF">2023-12-21T02:03:00Z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0x0101006AFC7D1054A10C49906E101EF7604602</vt:lpwstr>
  </property>
</Properties>
</file>