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55" w:rsidRPr="00B37DB1" w:rsidRDefault="00802F55" w:rsidP="00802F55">
      <w:pPr>
        <w:pStyle w:val="Heading3"/>
      </w:pPr>
      <w:bookmarkStart w:id="0" w:name="_Toc54870130"/>
      <w:r w:rsidRPr="00B37DB1">
        <w:t>Multi-Year Letters of Agreement</w:t>
      </w:r>
      <w:bookmarkEnd w:id="0"/>
      <w:r w:rsidRPr="00B37DB1">
        <w:rPr>
          <w:b w:val="0"/>
        </w:rPr>
        <w:fldChar w:fldCharType="begin"/>
      </w:r>
      <w:r w:rsidRPr="00B37DB1">
        <w:rPr>
          <w:b w:val="0"/>
        </w:rPr>
        <w:instrText xml:space="preserve"> XE "Multi-Year Letters of Agreement" </w:instrText>
      </w:r>
      <w:r w:rsidRPr="00B37DB1">
        <w:rPr>
          <w:b w:val="0"/>
        </w:rPr>
        <w:fldChar w:fldCharType="end"/>
      </w:r>
    </w:p>
    <w:p w:rsidR="00802F55" w:rsidRPr="00B37DB1" w:rsidRDefault="00802F55" w:rsidP="00802F55">
      <w:pPr>
        <w:pStyle w:val="BodyTextIndent2"/>
        <w:spacing w:line="240" w:lineRule="auto"/>
        <w:ind w:left="0"/>
        <w:jc w:val="both"/>
        <w:rPr>
          <w:sz w:val="20"/>
          <w:szCs w:val="20"/>
        </w:rPr>
      </w:pPr>
      <w:r w:rsidRPr="00B37DB1">
        <w:rPr>
          <w:sz w:val="20"/>
          <w:szCs w:val="20"/>
        </w:rPr>
        <w:t>At its discretion, the University may award multi-year Letters of Agreement for terms of two and three years.  The maximum number of faculty eligible for a two-year Letter of Agreement in a given school is 40% of the faculty of that school, and the maximum number of faculty eligible for a three-year Letter of Agreement in a given school is 30% of the faculty of that school.  Faculty may apply for a two- or three-year Letter of Agreement</w:t>
      </w:r>
      <w:r w:rsidRPr="00B37DB1">
        <w:rPr>
          <w:sz w:val="20"/>
          <w:szCs w:val="20"/>
        </w:rPr>
        <w:fldChar w:fldCharType="begin"/>
      </w:r>
      <w:r w:rsidRPr="00B37DB1">
        <w:rPr>
          <w:sz w:val="20"/>
          <w:szCs w:val="20"/>
        </w:rPr>
        <w:instrText xml:space="preserve"> XE "Letter of Agreement" </w:instrText>
      </w:r>
      <w:r w:rsidRPr="00B37DB1">
        <w:rPr>
          <w:sz w:val="20"/>
          <w:szCs w:val="20"/>
        </w:rPr>
        <w:fldChar w:fldCharType="end"/>
      </w:r>
      <w:r w:rsidRPr="00B37DB1">
        <w:rPr>
          <w:sz w:val="20"/>
          <w:szCs w:val="20"/>
        </w:rPr>
        <w:t xml:space="preserve"> upon meeting certain quantitative and qualitative criteria. All full-time faculty members are evaluated annually based upon their completion of the </w:t>
      </w:r>
      <w:r>
        <w:rPr>
          <w:iCs/>
          <w:sz w:val="20"/>
          <w:szCs w:val="20"/>
        </w:rPr>
        <w:t>Faculty Evaluation Form (FEF)</w:t>
      </w:r>
      <w:r w:rsidRPr="00B37DB1">
        <w:rPr>
          <w:sz w:val="20"/>
          <w:szCs w:val="20"/>
        </w:rPr>
        <w:t>.  This evaluation tool becomes part of an ongoing evaluation process and is used in the decisions for the issuance of multi-year Letters of Agreement as well as for promotion.</w:t>
      </w:r>
    </w:p>
    <w:p w:rsidR="00802F55" w:rsidRPr="00B37DB1" w:rsidRDefault="00802F55" w:rsidP="00802F55">
      <w:pPr>
        <w:numPr>
          <w:ilvl w:val="1"/>
          <w:numId w:val="1"/>
        </w:numPr>
        <w:jc w:val="both"/>
        <w:rPr>
          <w:sz w:val="20"/>
          <w:szCs w:val="20"/>
        </w:rPr>
      </w:pPr>
      <w:r w:rsidRPr="00B37DB1">
        <w:rPr>
          <w:b/>
          <w:bCs/>
          <w:sz w:val="20"/>
          <w:szCs w:val="20"/>
        </w:rPr>
        <w:t>Procedures for Awarding Two- and Three-Year Letters of Agreement</w:t>
      </w:r>
    </w:p>
    <w:p w:rsidR="00802F55" w:rsidRPr="00B37DB1" w:rsidRDefault="00802F55" w:rsidP="00802F55">
      <w:pPr>
        <w:ind w:left="648" w:firstLine="72"/>
        <w:jc w:val="both"/>
        <w:rPr>
          <w:sz w:val="20"/>
          <w:szCs w:val="20"/>
        </w:rPr>
      </w:pPr>
      <w:r w:rsidRPr="00B37DB1">
        <w:rPr>
          <w:sz w:val="20"/>
          <w:szCs w:val="20"/>
        </w:rPr>
        <w:t>Faculty are annually reviewed following the process described below.</w:t>
      </w:r>
    </w:p>
    <w:p w:rsidR="00802F55" w:rsidRPr="00B37DB1" w:rsidRDefault="00802F55" w:rsidP="00802F55">
      <w:pPr>
        <w:numPr>
          <w:ilvl w:val="2"/>
          <w:numId w:val="1"/>
        </w:numPr>
        <w:jc w:val="both"/>
        <w:rPr>
          <w:sz w:val="20"/>
          <w:szCs w:val="20"/>
        </w:rPr>
      </w:pPr>
      <w:r w:rsidRPr="00B37DB1">
        <w:rPr>
          <w:sz w:val="20"/>
          <w:szCs w:val="20"/>
        </w:rPr>
        <w:t xml:space="preserve">Those faculty who meet the quantifiable criteria for multi-year Letters of Agreement listed in the chart that follows may apply to their Dean by submitting a “Letter of Application” according to the guidelines listed in the </w:t>
      </w:r>
      <w:hyperlink r:id="rId5" w:history="1">
        <w:r w:rsidRPr="00B37DB1">
          <w:rPr>
            <w:rStyle w:val="Hyperlink"/>
            <w:sz w:val="20"/>
            <w:szCs w:val="20"/>
          </w:rPr>
          <w:t>Application for Multi-Year Letter of Agreement</w:t>
        </w:r>
      </w:hyperlink>
      <w:r w:rsidRPr="00B37DB1">
        <w:rPr>
          <w:sz w:val="20"/>
          <w:szCs w:val="20"/>
        </w:rPr>
        <w:t>.</w:t>
      </w:r>
    </w:p>
    <w:p w:rsidR="00802F55" w:rsidRPr="00B37DB1" w:rsidRDefault="00802F55" w:rsidP="00802F55">
      <w:pPr>
        <w:numPr>
          <w:ilvl w:val="2"/>
          <w:numId w:val="1"/>
        </w:numPr>
        <w:jc w:val="both"/>
        <w:rPr>
          <w:sz w:val="20"/>
          <w:szCs w:val="20"/>
        </w:rPr>
      </w:pPr>
      <w:r w:rsidRPr="00B37DB1">
        <w:rPr>
          <w:sz w:val="20"/>
          <w:szCs w:val="20"/>
        </w:rPr>
        <w:t xml:space="preserve">Included with this letter, the faculty member must prepare a portfolio which conforms to the criteria in the </w:t>
      </w:r>
      <w:hyperlink r:id="rId6" w:history="1">
        <w:r w:rsidRPr="00B37DB1">
          <w:rPr>
            <w:rStyle w:val="Hyperlink"/>
            <w:sz w:val="20"/>
            <w:szCs w:val="20"/>
          </w:rPr>
          <w:t>Portfolio G</w:t>
        </w:r>
        <w:r w:rsidRPr="00B37DB1">
          <w:rPr>
            <w:rStyle w:val="Hyperlink"/>
            <w:sz w:val="20"/>
            <w:szCs w:val="20"/>
          </w:rPr>
          <w:t>u</w:t>
        </w:r>
        <w:r w:rsidRPr="00B37DB1">
          <w:rPr>
            <w:rStyle w:val="Hyperlink"/>
            <w:sz w:val="20"/>
            <w:szCs w:val="20"/>
          </w:rPr>
          <w:t>idelines</w:t>
        </w:r>
      </w:hyperlink>
      <w:r w:rsidRPr="00B37DB1">
        <w:rPr>
          <w:sz w:val="20"/>
          <w:szCs w:val="20"/>
        </w:rPr>
        <w:t xml:space="preserve"> and the </w:t>
      </w:r>
      <w:hyperlink r:id="rId7" w:history="1">
        <w:r w:rsidR="00E861D5" w:rsidRPr="00B37DB1">
          <w:rPr>
            <w:rStyle w:val="Hyperlink"/>
            <w:sz w:val="20"/>
            <w:szCs w:val="20"/>
          </w:rPr>
          <w:t>Application for Multi-Year Letter of Agreement</w:t>
        </w:r>
      </w:hyperlink>
      <w:r w:rsidR="00E861D5" w:rsidRPr="00B37DB1">
        <w:rPr>
          <w:sz w:val="20"/>
          <w:szCs w:val="20"/>
        </w:rPr>
        <w:t>.</w:t>
      </w:r>
    </w:p>
    <w:p w:rsidR="00802F55" w:rsidRDefault="00802F55" w:rsidP="00802F55">
      <w:pPr>
        <w:numPr>
          <w:ilvl w:val="2"/>
          <w:numId w:val="1"/>
        </w:numPr>
        <w:jc w:val="both"/>
        <w:rPr>
          <w:sz w:val="20"/>
          <w:szCs w:val="20"/>
        </w:rPr>
      </w:pPr>
      <w:r w:rsidRPr="00B37DB1">
        <w:rPr>
          <w:sz w:val="20"/>
          <w:szCs w:val="20"/>
        </w:rPr>
        <w:t xml:space="preserve">The Dean reviews the Portfolio and forwards his/her recommendation to the </w:t>
      </w:r>
      <w:r>
        <w:rPr>
          <w:sz w:val="20"/>
          <w:szCs w:val="20"/>
        </w:rPr>
        <w:t>Faculty Promotion and Evaluation Committee (FPEC) of the Faculty Senate</w:t>
      </w:r>
      <w:r w:rsidRPr="00B37DB1">
        <w:rPr>
          <w:sz w:val="20"/>
          <w:szCs w:val="20"/>
        </w:rPr>
        <w:t xml:space="preserve"> for review and recommendation.</w:t>
      </w:r>
    </w:p>
    <w:p w:rsidR="00802F55" w:rsidRPr="007D0B54" w:rsidRDefault="00802F55" w:rsidP="00802F55">
      <w:pPr>
        <w:pStyle w:val="ListParagraph"/>
        <w:numPr>
          <w:ilvl w:val="2"/>
          <w:numId w:val="1"/>
        </w:numPr>
        <w:rPr>
          <w:sz w:val="20"/>
          <w:szCs w:val="20"/>
        </w:rPr>
      </w:pPr>
      <w:r w:rsidRPr="007D0B54">
        <w:rPr>
          <w:sz w:val="20"/>
          <w:szCs w:val="20"/>
        </w:rPr>
        <w:t xml:space="preserve">The chair of the </w:t>
      </w:r>
      <w:r>
        <w:rPr>
          <w:sz w:val="20"/>
          <w:szCs w:val="20"/>
        </w:rPr>
        <w:t>Faculty Promotion and Evaluation Committee</w:t>
      </w:r>
      <w:r w:rsidRPr="007D0B54">
        <w:rPr>
          <w:sz w:val="20"/>
          <w:szCs w:val="20"/>
        </w:rPr>
        <w:t xml:space="preserve"> forwards the Committee’s recommendation to the Provost, who reviews the Portfolio and makes a recommendation to the President.</w:t>
      </w:r>
    </w:p>
    <w:p w:rsidR="00802F55" w:rsidRPr="00B37DB1" w:rsidRDefault="00802F55" w:rsidP="00802F55">
      <w:pPr>
        <w:numPr>
          <w:ilvl w:val="2"/>
          <w:numId w:val="1"/>
        </w:numPr>
        <w:jc w:val="both"/>
        <w:rPr>
          <w:sz w:val="20"/>
          <w:szCs w:val="20"/>
        </w:rPr>
      </w:pPr>
      <w:r w:rsidRPr="00B37DB1">
        <w:rPr>
          <w:sz w:val="20"/>
          <w:szCs w:val="20"/>
        </w:rPr>
        <w:t>The President reviews the Portfolio and determines whether to make a favorable recommendation to the Board.</w:t>
      </w:r>
    </w:p>
    <w:p w:rsidR="00802F55" w:rsidRPr="007901AA" w:rsidRDefault="00802F55" w:rsidP="00802F55">
      <w:pPr>
        <w:numPr>
          <w:ilvl w:val="2"/>
          <w:numId w:val="1"/>
        </w:numPr>
        <w:jc w:val="both"/>
        <w:rPr>
          <w:sz w:val="20"/>
          <w:szCs w:val="20"/>
        </w:rPr>
      </w:pPr>
      <w:r w:rsidRPr="00B37DB1">
        <w:rPr>
          <w:sz w:val="20"/>
          <w:szCs w:val="20"/>
        </w:rPr>
        <w:t>The Board of Trustees is the ultimate decision-making entity for multi-year Letter of Agreement</w:t>
      </w:r>
      <w:r w:rsidRPr="00B37DB1">
        <w:rPr>
          <w:sz w:val="20"/>
          <w:szCs w:val="20"/>
        </w:rPr>
        <w:fldChar w:fldCharType="begin"/>
      </w:r>
      <w:r w:rsidRPr="00B37DB1">
        <w:rPr>
          <w:sz w:val="20"/>
          <w:szCs w:val="20"/>
        </w:rPr>
        <w:instrText xml:space="preserve"> XE "Letter of Agreement" </w:instrText>
      </w:r>
      <w:r w:rsidRPr="00B37DB1">
        <w:rPr>
          <w:sz w:val="20"/>
          <w:szCs w:val="20"/>
        </w:rPr>
        <w:fldChar w:fldCharType="end"/>
      </w:r>
      <w:r w:rsidRPr="00B37DB1">
        <w:rPr>
          <w:sz w:val="20"/>
          <w:szCs w:val="20"/>
        </w:rPr>
        <w:t>.</w:t>
      </w:r>
    </w:p>
    <w:p w:rsidR="00802F55" w:rsidRPr="00B37DB1" w:rsidRDefault="00802F55" w:rsidP="00802F55">
      <w:pPr>
        <w:numPr>
          <w:ilvl w:val="1"/>
          <w:numId w:val="1"/>
        </w:numPr>
        <w:jc w:val="both"/>
        <w:rPr>
          <w:b/>
          <w:sz w:val="20"/>
          <w:szCs w:val="20"/>
        </w:rPr>
      </w:pPr>
      <w:r w:rsidRPr="00B37DB1">
        <w:rPr>
          <w:b/>
          <w:bCs/>
          <w:sz w:val="20"/>
          <w:szCs w:val="20"/>
        </w:rPr>
        <w:t>Eligibility for Multi-Year Letters of Agreement</w:t>
      </w:r>
      <w:r w:rsidRPr="00B37DB1">
        <w:rPr>
          <w:bCs/>
          <w:sz w:val="20"/>
          <w:szCs w:val="20"/>
        </w:rPr>
        <w:fldChar w:fldCharType="begin"/>
      </w:r>
      <w:r w:rsidRPr="00B37DB1">
        <w:rPr>
          <w:sz w:val="20"/>
        </w:rPr>
        <w:instrText xml:space="preserve"> XE "</w:instrText>
      </w:r>
      <w:r w:rsidRPr="00B37DB1">
        <w:rPr>
          <w:bCs/>
          <w:sz w:val="20"/>
          <w:szCs w:val="20"/>
        </w:rPr>
        <w:instrText>Multi-Year Letters of Agreement:</w:instrText>
      </w:r>
      <w:r w:rsidRPr="00B37DB1">
        <w:rPr>
          <w:sz w:val="20"/>
        </w:rPr>
        <w:instrText xml:space="preserve">Eligibility" </w:instrText>
      </w:r>
      <w:r w:rsidRPr="00B37DB1">
        <w:rPr>
          <w:bCs/>
          <w:sz w:val="20"/>
          <w:szCs w:val="20"/>
        </w:rPr>
        <w:fldChar w:fldCharType="end"/>
      </w:r>
    </w:p>
    <w:p w:rsidR="00802F55" w:rsidRPr="00B37DB1" w:rsidRDefault="00802F55" w:rsidP="00802F55">
      <w:pPr>
        <w:numPr>
          <w:ilvl w:val="2"/>
          <w:numId w:val="1"/>
        </w:numPr>
        <w:jc w:val="both"/>
        <w:rPr>
          <w:spacing w:val="-2"/>
          <w:sz w:val="20"/>
          <w:szCs w:val="20"/>
        </w:rPr>
      </w:pPr>
      <w:r w:rsidRPr="00B37DB1">
        <w:rPr>
          <w:sz w:val="20"/>
          <w:szCs w:val="20"/>
        </w:rPr>
        <w:t>Faculty</w:t>
      </w:r>
      <w:r w:rsidRPr="00B37DB1">
        <w:rPr>
          <w:spacing w:val="-2"/>
          <w:sz w:val="20"/>
          <w:szCs w:val="20"/>
        </w:rPr>
        <w:t xml:space="preserve"> at the instructor level are eligible to receive only one-year Letters of Agreement that may be re-issued each year.  </w:t>
      </w:r>
    </w:p>
    <w:p w:rsidR="00802F55" w:rsidRPr="00B37DB1" w:rsidRDefault="00802F55" w:rsidP="00802F55">
      <w:pPr>
        <w:numPr>
          <w:ilvl w:val="2"/>
          <w:numId w:val="1"/>
        </w:numPr>
        <w:jc w:val="both"/>
        <w:rPr>
          <w:spacing w:val="-2"/>
          <w:sz w:val="20"/>
          <w:szCs w:val="20"/>
        </w:rPr>
      </w:pPr>
      <w:r w:rsidRPr="00B37DB1">
        <w:rPr>
          <w:bCs/>
          <w:sz w:val="20"/>
          <w:szCs w:val="20"/>
        </w:rPr>
        <w:t>New</w:t>
      </w:r>
      <w:r w:rsidRPr="00B37DB1">
        <w:rPr>
          <w:spacing w:val="-2"/>
          <w:sz w:val="20"/>
          <w:szCs w:val="20"/>
        </w:rPr>
        <w:t xml:space="preserve"> faculty are appointed to an initial one-year Letter of Agreement</w:t>
      </w:r>
      <w:r w:rsidRPr="00B37DB1">
        <w:rPr>
          <w:spacing w:val="-2"/>
          <w:sz w:val="20"/>
          <w:szCs w:val="20"/>
        </w:rPr>
        <w:fldChar w:fldCharType="begin"/>
      </w:r>
      <w:r w:rsidRPr="00B37DB1">
        <w:rPr>
          <w:spacing w:val="-2"/>
          <w:sz w:val="20"/>
          <w:szCs w:val="20"/>
        </w:rPr>
        <w:instrText xml:space="preserve"> XE "</w:instrText>
      </w:r>
      <w:r w:rsidRPr="00B37DB1">
        <w:rPr>
          <w:sz w:val="20"/>
          <w:szCs w:val="20"/>
        </w:rPr>
        <w:instrText>Letter of Agreement"</w:instrText>
      </w:r>
      <w:r w:rsidRPr="00B37DB1">
        <w:rPr>
          <w:spacing w:val="-2"/>
          <w:sz w:val="20"/>
          <w:szCs w:val="20"/>
        </w:rPr>
        <w:instrText xml:space="preserve"> </w:instrText>
      </w:r>
      <w:r w:rsidRPr="00B37DB1">
        <w:rPr>
          <w:spacing w:val="-2"/>
          <w:sz w:val="20"/>
          <w:szCs w:val="20"/>
        </w:rPr>
        <w:fldChar w:fldCharType="end"/>
      </w:r>
      <w:r w:rsidRPr="00B37DB1">
        <w:rPr>
          <w:spacing w:val="-2"/>
          <w:sz w:val="20"/>
          <w:szCs w:val="20"/>
        </w:rPr>
        <w:t>, whatever their rank.</w:t>
      </w:r>
    </w:p>
    <w:p w:rsidR="00802F55" w:rsidRPr="00B37DB1" w:rsidRDefault="00802F55" w:rsidP="00802F55">
      <w:pPr>
        <w:numPr>
          <w:ilvl w:val="2"/>
          <w:numId w:val="1"/>
        </w:numPr>
        <w:jc w:val="both"/>
        <w:rPr>
          <w:spacing w:val="-2"/>
          <w:sz w:val="20"/>
          <w:szCs w:val="20"/>
        </w:rPr>
      </w:pPr>
      <w:r w:rsidRPr="00B37DB1">
        <w:rPr>
          <w:sz w:val="20"/>
          <w:szCs w:val="20"/>
        </w:rPr>
        <w:t>This</w:t>
      </w:r>
      <w:r w:rsidRPr="00B37DB1">
        <w:rPr>
          <w:spacing w:val="-2"/>
          <w:sz w:val="20"/>
          <w:szCs w:val="20"/>
        </w:rPr>
        <w:t xml:space="preserve"> may be followed by a second one-year Letter of Agreement</w:t>
      </w:r>
      <w:r w:rsidRPr="00B37DB1">
        <w:rPr>
          <w:spacing w:val="-2"/>
          <w:sz w:val="20"/>
          <w:szCs w:val="20"/>
        </w:rPr>
        <w:fldChar w:fldCharType="begin"/>
      </w:r>
      <w:r w:rsidRPr="00B37DB1">
        <w:rPr>
          <w:spacing w:val="-2"/>
          <w:sz w:val="20"/>
          <w:szCs w:val="20"/>
        </w:rPr>
        <w:instrText xml:space="preserve"> XE "</w:instrText>
      </w:r>
      <w:r w:rsidRPr="00B37DB1">
        <w:rPr>
          <w:sz w:val="20"/>
          <w:szCs w:val="20"/>
        </w:rPr>
        <w:instrText>Letter of Agreement"</w:instrText>
      </w:r>
      <w:r w:rsidRPr="00B37DB1">
        <w:rPr>
          <w:spacing w:val="-2"/>
          <w:sz w:val="20"/>
          <w:szCs w:val="20"/>
        </w:rPr>
        <w:instrText xml:space="preserve"> </w:instrText>
      </w:r>
      <w:r w:rsidRPr="00B37DB1">
        <w:rPr>
          <w:spacing w:val="-2"/>
          <w:sz w:val="20"/>
          <w:szCs w:val="20"/>
        </w:rPr>
        <w:fldChar w:fldCharType="end"/>
      </w:r>
      <w:r w:rsidRPr="00B37DB1">
        <w:rPr>
          <w:spacing w:val="-2"/>
          <w:sz w:val="20"/>
          <w:szCs w:val="20"/>
        </w:rPr>
        <w:t>.</w:t>
      </w:r>
    </w:p>
    <w:p w:rsidR="00802F55" w:rsidRPr="00B37DB1" w:rsidRDefault="00802F55" w:rsidP="00802F55">
      <w:pPr>
        <w:numPr>
          <w:ilvl w:val="2"/>
          <w:numId w:val="1"/>
        </w:numPr>
        <w:jc w:val="both"/>
        <w:rPr>
          <w:spacing w:val="-2"/>
          <w:sz w:val="20"/>
          <w:szCs w:val="20"/>
        </w:rPr>
      </w:pPr>
      <w:r w:rsidRPr="00B37DB1">
        <w:rPr>
          <w:sz w:val="20"/>
          <w:szCs w:val="20"/>
        </w:rPr>
        <w:t>In their second year</w:t>
      </w:r>
      <w:r w:rsidRPr="00B37DB1">
        <w:rPr>
          <w:spacing w:val="-2"/>
          <w:sz w:val="20"/>
          <w:szCs w:val="20"/>
        </w:rPr>
        <w:t>, faculty at the level of professor may begin the application process for a two-year multi-year Letter of Agreement</w:t>
      </w:r>
      <w:r w:rsidRPr="00B37DB1">
        <w:rPr>
          <w:spacing w:val="-2"/>
          <w:sz w:val="20"/>
          <w:szCs w:val="20"/>
        </w:rPr>
        <w:fldChar w:fldCharType="begin"/>
      </w:r>
      <w:r w:rsidRPr="00B37DB1">
        <w:rPr>
          <w:spacing w:val="-2"/>
          <w:sz w:val="20"/>
          <w:szCs w:val="20"/>
        </w:rPr>
        <w:instrText xml:space="preserve"> XE "</w:instrText>
      </w:r>
      <w:r w:rsidRPr="00B37DB1">
        <w:rPr>
          <w:sz w:val="20"/>
          <w:szCs w:val="20"/>
        </w:rPr>
        <w:instrText>Letter of Agreement"</w:instrText>
      </w:r>
      <w:r w:rsidRPr="00B37DB1">
        <w:rPr>
          <w:spacing w:val="-2"/>
          <w:sz w:val="20"/>
          <w:szCs w:val="20"/>
        </w:rPr>
        <w:instrText xml:space="preserve"> </w:instrText>
      </w:r>
      <w:r w:rsidRPr="00B37DB1">
        <w:rPr>
          <w:spacing w:val="-2"/>
          <w:sz w:val="20"/>
          <w:szCs w:val="20"/>
        </w:rPr>
        <w:fldChar w:fldCharType="end"/>
      </w:r>
      <w:r w:rsidRPr="00B37DB1">
        <w:rPr>
          <w:spacing w:val="-2"/>
          <w:sz w:val="20"/>
          <w:szCs w:val="20"/>
        </w:rPr>
        <w:t>, which may be granted following the successful completion of two years of employment. This two-year Letter of Agreement may be rolled-over each year for an ongoing, two-year Letter of Agreement.  Re-application is not necessary for a rolled-over Letter of Agreement.</w:t>
      </w:r>
    </w:p>
    <w:p w:rsidR="00802F55" w:rsidRPr="00B37DB1" w:rsidRDefault="00802F55" w:rsidP="00802F55">
      <w:pPr>
        <w:numPr>
          <w:ilvl w:val="2"/>
          <w:numId w:val="1"/>
        </w:numPr>
        <w:jc w:val="both"/>
        <w:rPr>
          <w:spacing w:val="-2"/>
          <w:sz w:val="20"/>
          <w:szCs w:val="20"/>
        </w:rPr>
      </w:pPr>
      <w:r w:rsidRPr="00B37DB1">
        <w:rPr>
          <w:sz w:val="20"/>
          <w:szCs w:val="20"/>
        </w:rPr>
        <w:t xml:space="preserve">In their third year, </w:t>
      </w:r>
      <w:r w:rsidRPr="00B37DB1">
        <w:rPr>
          <w:spacing w:val="-2"/>
          <w:sz w:val="20"/>
          <w:szCs w:val="20"/>
        </w:rPr>
        <w:t>faculty at the associate professor level may begin the application process for a two-year Letter of Agreement</w:t>
      </w:r>
      <w:r w:rsidRPr="00B37DB1">
        <w:rPr>
          <w:spacing w:val="-2"/>
          <w:sz w:val="20"/>
          <w:szCs w:val="20"/>
        </w:rPr>
        <w:fldChar w:fldCharType="begin"/>
      </w:r>
      <w:r w:rsidRPr="00B37DB1">
        <w:rPr>
          <w:spacing w:val="-2"/>
          <w:sz w:val="20"/>
          <w:szCs w:val="20"/>
        </w:rPr>
        <w:instrText xml:space="preserve"> XE "</w:instrText>
      </w:r>
      <w:r w:rsidRPr="00B37DB1">
        <w:rPr>
          <w:sz w:val="20"/>
          <w:szCs w:val="20"/>
        </w:rPr>
        <w:instrText>Letter of Agreement"</w:instrText>
      </w:r>
      <w:r w:rsidRPr="00B37DB1">
        <w:rPr>
          <w:spacing w:val="-2"/>
          <w:sz w:val="20"/>
          <w:szCs w:val="20"/>
        </w:rPr>
        <w:instrText xml:space="preserve"> </w:instrText>
      </w:r>
      <w:r w:rsidRPr="00B37DB1">
        <w:rPr>
          <w:spacing w:val="-2"/>
          <w:sz w:val="20"/>
          <w:szCs w:val="20"/>
        </w:rPr>
        <w:fldChar w:fldCharType="end"/>
      </w:r>
      <w:r w:rsidRPr="00B37DB1">
        <w:rPr>
          <w:spacing w:val="-2"/>
          <w:sz w:val="20"/>
          <w:szCs w:val="20"/>
        </w:rPr>
        <w:t>, which may be granted following the successful completion of three years of employment. This two-year letter may be rolled-over each year for an ongoing, two-year Letter of Agreement. Re-application is not necessary for a rolled-over Letter of Agreement.</w:t>
      </w:r>
    </w:p>
    <w:p w:rsidR="00802F55" w:rsidRPr="00B37DB1" w:rsidRDefault="00802F55" w:rsidP="00802F55">
      <w:pPr>
        <w:numPr>
          <w:ilvl w:val="2"/>
          <w:numId w:val="1"/>
        </w:numPr>
        <w:jc w:val="both"/>
        <w:rPr>
          <w:spacing w:val="-2"/>
          <w:sz w:val="20"/>
          <w:szCs w:val="20"/>
        </w:rPr>
      </w:pPr>
      <w:r w:rsidRPr="00B37DB1">
        <w:rPr>
          <w:sz w:val="20"/>
          <w:szCs w:val="20"/>
        </w:rPr>
        <w:t>In their fourth year</w:t>
      </w:r>
      <w:r w:rsidRPr="00B37DB1">
        <w:rPr>
          <w:spacing w:val="-2"/>
          <w:sz w:val="20"/>
          <w:szCs w:val="20"/>
        </w:rPr>
        <w:t>, those at the assistant level may begin the application process for a two-year Letter of Agreement</w:t>
      </w:r>
      <w:r w:rsidRPr="00B37DB1">
        <w:rPr>
          <w:spacing w:val="-2"/>
          <w:sz w:val="20"/>
          <w:szCs w:val="20"/>
        </w:rPr>
        <w:fldChar w:fldCharType="begin"/>
      </w:r>
      <w:r w:rsidRPr="00B37DB1">
        <w:rPr>
          <w:spacing w:val="-2"/>
          <w:sz w:val="20"/>
          <w:szCs w:val="20"/>
        </w:rPr>
        <w:instrText xml:space="preserve"> XE "</w:instrText>
      </w:r>
      <w:r w:rsidRPr="00B37DB1">
        <w:rPr>
          <w:sz w:val="20"/>
          <w:szCs w:val="20"/>
        </w:rPr>
        <w:instrText>Letter of Agreement"</w:instrText>
      </w:r>
      <w:r w:rsidRPr="00B37DB1">
        <w:rPr>
          <w:spacing w:val="-2"/>
          <w:sz w:val="20"/>
          <w:szCs w:val="20"/>
        </w:rPr>
        <w:instrText xml:space="preserve"> </w:instrText>
      </w:r>
      <w:r w:rsidRPr="00B37DB1">
        <w:rPr>
          <w:spacing w:val="-2"/>
          <w:sz w:val="20"/>
          <w:szCs w:val="20"/>
        </w:rPr>
        <w:fldChar w:fldCharType="end"/>
      </w:r>
      <w:r w:rsidRPr="00B37DB1">
        <w:rPr>
          <w:spacing w:val="-2"/>
          <w:sz w:val="20"/>
          <w:szCs w:val="20"/>
        </w:rPr>
        <w:t>, which may be granted following the successful completion of four years of employment. This two-year letter may be rolled-over each year for an ongoing, two-year Letter of Agreement.  Re-application is not necessary for a rolled-over Letter of Agreement.</w:t>
      </w:r>
    </w:p>
    <w:p w:rsidR="00802F55" w:rsidRPr="00B37DB1" w:rsidRDefault="00802F55" w:rsidP="00802F55">
      <w:pPr>
        <w:numPr>
          <w:ilvl w:val="2"/>
          <w:numId w:val="1"/>
        </w:numPr>
        <w:jc w:val="both"/>
        <w:rPr>
          <w:spacing w:val="-2"/>
          <w:sz w:val="20"/>
          <w:szCs w:val="20"/>
        </w:rPr>
      </w:pPr>
      <w:r w:rsidRPr="00B37DB1">
        <w:rPr>
          <w:sz w:val="20"/>
          <w:szCs w:val="20"/>
        </w:rPr>
        <w:t>In their fifth year, faculty</w:t>
      </w:r>
      <w:r w:rsidRPr="00B37DB1">
        <w:rPr>
          <w:spacing w:val="-2"/>
          <w:sz w:val="20"/>
          <w:szCs w:val="20"/>
        </w:rPr>
        <w:t xml:space="preserve"> at the rank of professor may begin the application process for a three-year multi-year letter, which may be granted following the successful completion of five years of employment.  This three-year Letter of Agreement</w:t>
      </w:r>
      <w:r w:rsidRPr="00B37DB1">
        <w:rPr>
          <w:spacing w:val="-2"/>
          <w:sz w:val="20"/>
          <w:szCs w:val="20"/>
        </w:rPr>
        <w:fldChar w:fldCharType="begin"/>
      </w:r>
      <w:r w:rsidRPr="00B37DB1">
        <w:rPr>
          <w:spacing w:val="-2"/>
          <w:sz w:val="20"/>
          <w:szCs w:val="20"/>
        </w:rPr>
        <w:instrText xml:space="preserve"> XE "</w:instrText>
      </w:r>
      <w:r w:rsidRPr="00B37DB1">
        <w:rPr>
          <w:sz w:val="20"/>
          <w:szCs w:val="20"/>
        </w:rPr>
        <w:instrText>Letter of Agreement"</w:instrText>
      </w:r>
      <w:r w:rsidRPr="00B37DB1">
        <w:rPr>
          <w:spacing w:val="-2"/>
          <w:sz w:val="20"/>
          <w:szCs w:val="20"/>
        </w:rPr>
        <w:instrText xml:space="preserve"> </w:instrText>
      </w:r>
      <w:r w:rsidRPr="00B37DB1">
        <w:rPr>
          <w:spacing w:val="-2"/>
          <w:sz w:val="20"/>
          <w:szCs w:val="20"/>
        </w:rPr>
        <w:fldChar w:fldCharType="end"/>
      </w:r>
      <w:r w:rsidRPr="00B37DB1">
        <w:rPr>
          <w:spacing w:val="-2"/>
          <w:sz w:val="20"/>
          <w:szCs w:val="20"/>
        </w:rPr>
        <w:t xml:space="preserve"> may be rolled-over each year for an ongoing, three-year Letter of Agreement. Re-application is not necessary for a rolled-over Letter of Agreement.</w:t>
      </w:r>
    </w:p>
    <w:p w:rsidR="00802F55" w:rsidRPr="00B37DB1" w:rsidRDefault="00802F55" w:rsidP="00802F55">
      <w:pPr>
        <w:numPr>
          <w:ilvl w:val="2"/>
          <w:numId w:val="1"/>
        </w:numPr>
        <w:jc w:val="both"/>
        <w:rPr>
          <w:spacing w:val="-2"/>
          <w:sz w:val="20"/>
          <w:szCs w:val="20"/>
        </w:rPr>
      </w:pPr>
      <w:r w:rsidRPr="00B37DB1">
        <w:rPr>
          <w:sz w:val="20"/>
          <w:szCs w:val="20"/>
        </w:rPr>
        <w:t>In their sixth year, faculty</w:t>
      </w:r>
      <w:r w:rsidRPr="00B37DB1">
        <w:rPr>
          <w:spacing w:val="-2"/>
          <w:sz w:val="20"/>
          <w:szCs w:val="20"/>
        </w:rPr>
        <w:t xml:space="preserve"> at the associate professor level may begin the application process for a three-year multi-year Letter of Agreement</w:t>
      </w:r>
      <w:r w:rsidRPr="00B37DB1">
        <w:rPr>
          <w:spacing w:val="-2"/>
          <w:sz w:val="20"/>
          <w:szCs w:val="20"/>
        </w:rPr>
        <w:fldChar w:fldCharType="begin"/>
      </w:r>
      <w:r w:rsidRPr="00B37DB1">
        <w:rPr>
          <w:spacing w:val="-2"/>
          <w:sz w:val="20"/>
          <w:szCs w:val="20"/>
        </w:rPr>
        <w:instrText xml:space="preserve"> XE "</w:instrText>
      </w:r>
      <w:r w:rsidRPr="00B37DB1">
        <w:rPr>
          <w:sz w:val="20"/>
          <w:szCs w:val="20"/>
        </w:rPr>
        <w:instrText>Letter of Agreement"</w:instrText>
      </w:r>
      <w:r w:rsidRPr="00B37DB1">
        <w:rPr>
          <w:spacing w:val="-2"/>
          <w:sz w:val="20"/>
          <w:szCs w:val="20"/>
        </w:rPr>
        <w:instrText xml:space="preserve"> </w:instrText>
      </w:r>
      <w:r w:rsidRPr="00B37DB1">
        <w:rPr>
          <w:spacing w:val="-2"/>
          <w:sz w:val="20"/>
          <w:szCs w:val="20"/>
        </w:rPr>
        <w:fldChar w:fldCharType="end"/>
      </w:r>
      <w:r w:rsidRPr="00B37DB1">
        <w:rPr>
          <w:spacing w:val="-2"/>
          <w:sz w:val="20"/>
          <w:szCs w:val="20"/>
        </w:rPr>
        <w:t>, which may be granted following the successful completion of six years of employment.  This three-year Letter of Agreement may be rolled-over each year for an ongoing, three-year Letter of Agreement. Re-application is not necessary for a rolled-over Letter of Agreement.</w:t>
      </w:r>
    </w:p>
    <w:p w:rsidR="00802F55" w:rsidRPr="00B37DB1" w:rsidRDefault="00802F55" w:rsidP="00802F55">
      <w:pPr>
        <w:numPr>
          <w:ilvl w:val="2"/>
          <w:numId w:val="1"/>
        </w:numPr>
        <w:jc w:val="both"/>
        <w:rPr>
          <w:spacing w:val="-2"/>
          <w:sz w:val="20"/>
          <w:szCs w:val="20"/>
        </w:rPr>
      </w:pPr>
      <w:r w:rsidRPr="00B37DB1">
        <w:rPr>
          <w:sz w:val="20"/>
          <w:szCs w:val="20"/>
        </w:rPr>
        <w:t>In their tenth year, faculty</w:t>
      </w:r>
      <w:r w:rsidRPr="00B37DB1">
        <w:rPr>
          <w:spacing w:val="-2"/>
          <w:sz w:val="20"/>
          <w:szCs w:val="20"/>
        </w:rPr>
        <w:t xml:space="preserve"> at the assistant professor level may begin the application process for a three-year Letter of Agreement</w:t>
      </w:r>
      <w:r w:rsidRPr="00B37DB1">
        <w:rPr>
          <w:spacing w:val="-2"/>
          <w:sz w:val="20"/>
          <w:szCs w:val="20"/>
        </w:rPr>
        <w:fldChar w:fldCharType="begin"/>
      </w:r>
      <w:r w:rsidRPr="00B37DB1">
        <w:rPr>
          <w:spacing w:val="-2"/>
          <w:sz w:val="20"/>
          <w:szCs w:val="20"/>
        </w:rPr>
        <w:instrText xml:space="preserve"> XE "</w:instrText>
      </w:r>
      <w:r w:rsidRPr="00B37DB1">
        <w:rPr>
          <w:sz w:val="20"/>
          <w:szCs w:val="20"/>
        </w:rPr>
        <w:instrText>Letter of Agreement"</w:instrText>
      </w:r>
      <w:r w:rsidRPr="00B37DB1">
        <w:rPr>
          <w:spacing w:val="-2"/>
          <w:sz w:val="20"/>
          <w:szCs w:val="20"/>
        </w:rPr>
        <w:instrText xml:space="preserve"> </w:instrText>
      </w:r>
      <w:r w:rsidRPr="00B37DB1">
        <w:rPr>
          <w:spacing w:val="-2"/>
          <w:sz w:val="20"/>
          <w:szCs w:val="20"/>
        </w:rPr>
        <w:fldChar w:fldCharType="end"/>
      </w:r>
      <w:r w:rsidRPr="00B37DB1">
        <w:rPr>
          <w:spacing w:val="-2"/>
          <w:sz w:val="20"/>
          <w:szCs w:val="20"/>
        </w:rPr>
        <w:t xml:space="preserve">, which may be granted following the </w:t>
      </w:r>
      <w:r w:rsidRPr="00B37DB1">
        <w:rPr>
          <w:sz w:val="20"/>
          <w:szCs w:val="20"/>
        </w:rPr>
        <w:t>successful completion of ten years of employment. This three-year Letter of Agreement may be rolled</w:t>
      </w:r>
      <w:r w:rsidRPr="00B37DB1">
        <w:rPr>
          <w:spacing w:val="-2"/>
          <w:sz w:val="20"/>
          <w:szCs w:val="20"/>
        </w:rPr>
        <w:t>-over each year for an ongoing, three-year Letter of Agreement. Re-application is not necessary for a rolled-over Letter of Agreement.</w:t>
      </w:r>
    </w:p>
    <w:p w:rsidR="00802F55" w:rsidRPr="001629D7" w:rsidRDefault="00802F55" w:rsidP="00802F55">
      <w:pPr>
        <w:numPr>
          <w:ilvl w:val="2"/>
          <w:numId w:val="1"/>
        </w:numPr>
        <w:jc w:val="both"/>
        <w:rPr>
          <w:spacing w:val="-2"/>
          <w:sz w:val="20"/>
          <w:szCs w:val="20"/>
        </w:rPr>
      </w:pPr>
      <w:r w:rsidRPr="00B37DB1">
        <w:rPr>
          <w:spacing w:val="-2"/>
          <w:sz w:val="20"/>
          <w:szCs w:val="20"/>
        </w:rPr>
        <w:lastRenderedPageBreak/>
        <w:t>Faculty members should be eligible to apply for any multi-year Letter of Agreement</w:t>
      </w:r>
      <w:r w:rsidRPr="00B37DB1">
        <w:rPr>
          <w:spacing w:val="-2"/>
          <w:sz w:val="20"/>
          <w:szCs w:val="20"/>
        </w:rPr>
        <w:fldChar w:fldCharType="begin"/>
      </w:r>
      <w:r w:rsidRPr="00B37DB1">
        <w:rPr>
          <w:spacing w:val="-2"/>
          <w:sz w:val="20"/>
          <w:szCs w:val="20"/>
        </w:rPr>
        <w:instrText xml:space="preserve"> XE "</w:instrText>
      </w:r>
      <w:r w:rsidRPr="00B37DB1">
        <w:rPr>
          <w:sz w:val="20"/>
          <w:szCs w:val="20"/>
        </w:rPr>
        <w:instrText>Letter of Agreement"</w:instrText>
      </w:r>
      <w:r w:rsidRPr="00B37DB1">
        <w:rPr>
          <w:spacing w:val="-2"/>
          <w:sz w:val="20"/>
          <w:szCs w:val="20"/>
        </w:rPr>
        <w:instrText xml:space="preserve"> </w:instrText>
      </w:r>
      <w:r w:rsidRPr="00B37DB1">
        <w:rPr>
          <w:spacing w:val="-2"/>
          <w:sz w:val="20"/>
          <w:szCs w:val="20"/>
        </w:rPr>
        <w:fldChar w:fldCharType="end"/>
      </w:r>
      <w:r w:rsidRPr="00B37DB1">
        <w:rPr>
          <w:spacing w:val="-2"/>
          <w:sz w:val="20"/>
          <w:szCs w:val="20"/>
        </w:rPr>
        <w:t xml:space="preserve"> as long as they have met the stipulated number of years of service at PBA as set forth in this Handbook.  Faculty members must reapply if going from a two-year to a three-year multi-year Letter of Agreement.</w:t>
      </w:r>
    </w:p>
    <w:p w:rsidR="00802F55" w:rsidRPr="00B37DB1" w:rsidRDefault="00802F55" w:rsidP="00802F55">
      <w:pPr>
        <w:jc w:val="both"/>
        <w:rPr>
          <w:spacing w:val="-2"/>
          <w:sz w:val="20"/>
          <w:szCs w:val="20"/>
        </w:rPr>
      </w:pPr>
    </w:p>
    <w:p w:rsidR="00802F55" w:rsidRPr="00B37DB1" w:rsidRDefault="00802F55" w:rsidP="00802F55">
      <w:pPr>
        <w:numPr>
          <w:ilvl w:val="2"/>
          <w:numId w:val="1"/>
        </w:numPr>
        <w:jc w:val="both"/>
        <w:rPr>
          <w:spacing w:val="-2"/>
          <w:sz w:val="20"/>
          <w:szCs w:val="20"/>
        </w:rPr>
      </w:pPr>
      <w:r w:rsidRPr="00B37DB1">
        <w:rPr>
          <w:bCs/>
          <w:sz w:val="20"/>
          <w:szCs w:val="20"/>
        </w:rPr>
        <w:t>Th</w:t>
      </w:r>
      <w:r w:rsidRPr="00B37DB1">
        <w:rPr>
          <w:spacing w:val="-2"/>
          <w:sz w:val="20"/>
          <w:szCs w:val="20"/>
        </w:rPr>
        <w:t>e following chart summarizes eligibility for multi-year Letters of Agreement by rank and years of service at PBA:</w:t>
      </w:r>
    </w:p>
    <w:p w:rsidR="00802F55" w:rsidRPr="00B37DB1" w:rsidRDefault="00802F55" w:rsidP="00802F55">
      <w:pPr>
        <w:suppressAutoHyphens/>
        <w:jc w:val="both"/>
        <w:rPr>
          <w:spacing w:val="-2"/>
          <w:sz w:val="22"/>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32"/>
        <w:gridCol w:w="600"/>
        <w:gridCol w:w="671"/>
        <w:gridCol w:w="720"/>
        <w:gridCol w:w="720"/>
        <w:gridCol w:w="720"/>
        <w:gridCol w:w="720"/>
        <w:gridCol w:w="720"/>
        <w:gridCol w:w="720"/>
        <w:gridCol w:w="720"/>
        <w:gridCol w:w="720"/>
        <w:gridCol w:w="720"/>
        <w:gridCol w:w="720"/>
        <w:gridCol w:w="720"/>
        <w:gridCol w:w="720"/>
      </w:tblGrid>
      <w:tr w:rsidR="00802F55" w:rsidRPr="00B37DB1" w:rsidTr="00A9586F">
        <w:trPr>
          <w:trHeight w:val="440"/>
          <w:jc w:val="center"/>
        </w:trPr>
        <w:tc>
          <w:tcPr>
            <w:tcW w:w="1032" w:type="dxa"/>
            <w:tcBorders>
              <w:top w:val="double" w:sz="4" w:space="0" w:color="auto"/>
              <w:left w:val="double" w:sz="4" w:space="0" w:color="auto"/>
              <w:bottom w:val="single" w:sz="4" w:space="0" w:color="auto"/>
              <w:right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RANK</w:t>
            </w:r>
          </w:p>
        </w:tc>
        <w:tc>
          <w:tcPr>
            <w:tcW w:w="600" w:type="dxa"/>
            <w:tcBorders>
              <w:top w:val="double" w:sz="4" w:space="0" w:color="auto"/>
              <w:left w:val="nil"/>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YEAR</w:t>
            </w:r>
          </w:p>
          <w:p w:rsidR="00802F55" w:rsidRPr="00B37DB1" w:rsidRDefault="00802F55" w:rsidP="00A9586F">
            <w:pPr>
              <w:jc w:val="center"/>
              <w:rPr>
                <w:sz w:val="14"/>
                <w:szCs w:val="14"/>
              </w:rPr>
            </w:pPr>
            <w:r w:rsidRPr="00B37DB1">
              <w:rPr>
                <w:sz w:val="14"/>
                <w:szCs w:val="14"/>
              </w:rPr>
              <w:t>ONE</w:t>
            </w:r>
          </w:p>
        </w:tc>
        <w:tc>
          <w:tcPr>
            <w:tcW w:w="671" w:type="dxa"/>
            <w:tcBorders>
              <w:top w:val="double" w:sz="4" w:space="0" w:color="auto"/>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YEAR TWO</w:t>
            </w:r>
          </w:p>
        </w:tc>
        <w:tc>
          <w:tcPr>
            <w:tcW w:w="720" w:type="dxa"/>
            <w:tcBorders>
              <w:top w:val="double" w:sz="4" w:space="0" w:color="auto"/>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 xml:space="preserve">YEAR </w:t>
            </w:r>
            <w:r w:rsidRPr="00B37DB1">
              <w:rPr>
                <w:spacing w:val="-4"/>
                <w:sz w:val="14"/>
                <w:szCs w:val="14"/>
              </w:rPr>
              <w:t>THREE</w:t>
            </w:r>
          </w:p>
        </w:tc>
        <w:tc>
          <w:tcPr>
            <w:tcW w:w="720" w:type="dxa"/>
            <w:tcBorders>
              <w:top w:val="double" w:sz="4" w:space="0" w:color="auto"/>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YEAR FOUR</w:t>
            </w:r>
          </w:p>
        </w:tc>
        <w:tc>
          <w:tcPr>
            <w:tcW w:w="720" w:type="dxa"/>
            <w:tcBorders>
              <w:top w:val="double" w:sz="4" w:space="0" w:color="auto"/>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YEAR FIVE</w:t>
            </w:r>
          </w:p>
        </w:tc>
        <w:tc>
          <w:tcPr>
            <w:tcW w:w="720" w:type="dxa"/>
            <w:tcBorders>
              <w:top w:val="double" w:sz="4" w:space="0" w:color="auto"/>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YEAR SIX</w:t>
            </w:r>
          </w:p>
        </w:tc>
        <w:tc>
          <w:tcPr>
            <w:tcW w:w="720" w:type="dxa"/>
            <w:tcBorders>
              <w:top w:val="double" w:sz="4" w:space="0" w:color="auto"/>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 xml:space="preserve">YEAR </w:t>
            </w:r>
            <w:r w:rsidRPr="00B37DB1">
              <w:rPr>
                <w:spacing w:val="-4"/>
                <w:sz w:val="14"/>
                <w:szCs w:val="14"/>
              </w:rPr>
              <w:t>SEVEN</w:t>
            </w:r>
          </w:p>
        </w:tc>
        <w:tc>
          <w:tcPr>
            <w:tcW w:w="720" w:type="dxa"/>
            <w:tcBorders>
              <w:top w:val="double" w:sz="4" w:space="0" w:color="auto"/>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YEAR EIGHT</w:t>
            </w:r>
          </w:p>
        </w:tc>
        <w:tc>
          <w:tcPr>
            <w:tcW w:w="720" w:type="dxa"/>
            <w:tcBorders>
              <w:top w:val="double" w:sz="4" w:space="0" w:color="auto"/>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YEAR NINE</w:t>
            </w:r>
          </w:p>
        </w:tc>
        <w:tc>
          <w:tcPr>
            <w:tcW w:w="720" w:type="dxa"/>
            <w:tcBorders>
              <w:top w:val="double" w:sz="4" w:space="0" w:color="auto"/>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YEAR TEN</w:t>
            </w:r>
          </w:p>
        </w:tc>
        <w:tc>
          <w:tcPr>
            <w:tcW w:w="720" w:type="dxa"/>
            <w:tcBorders>
              <w:top w:val="double" w:sz="4" w:space="0" w:color="auto"/>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 xml:space="preserve">YEAR </w:t>
            </w:r>
            <w:r w:rsidRPr="00B37DB1">
              <w:rPr>
                <w:spacing w:val="-6"/>
                <w:sz w:val="14"/>
                <w:szCs w:val="14"/>
              </w:rPr>
              <w:t>ELEVEN</w:t>
            </w:r>
          </w:p>
        </w:tc>
        <w:tc>
          <w:tcPr>
            <w:tcW w:w="720" w:type="dxa"/>
            <w:tcBorders>
              <w:top w:val="double" w:sz="4" w:space="0" w:color="auto"/>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YEAR TWELVE</w:t>
            </w:r>
          </w:p>
        </w:tc>
        <w:tc>
          <w:tcPr>
            <w:tcW w:w="720" w:type="dxa"/>
            <w:tcBorders>
              <w:top w:val="double" w:sz="4" w:space="0" w:color="auto"/>
              <w:bottom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 xml:space="preserve">YEAR </w:t>
            </w:r>
            <w:r w:rsidRPr="00B37DB1">
              <w:rPr>
                <w:spacing w:val="-16"/>
                <w:sz w:val="14"/>
                <w:szCs w:val="14"/>
              </w:rPr>
              <w:t>THIRTEEN</w:t>
            </w:r>
          </w:p>
        </w:tc>
        <w:tc>
          <w:tcPr>
            <w:tcW w:w="720" w:type="dxa"/>
            <w:tcBorders>
              <w:top w:val="double" w:sz="4" w:space="0" w:color="auto"/>
              <w:bottom w:val="double" w:sz="4" w:space="0" w:color="auto"/>
              <w:right w:val="double" w:sz="4" w:space="0" w:color="auto"/>
            </w:tcBorders>
            <w:shd w:val="pct5" w:color="auto" w:fill="FFFFFF"/>
            <w:vAlign w:val="center"/>
          </w:tcPr>
          <w:p w:rsidR="00802F55" w:rsidRPr="00B37DB1" w:rsidRDefault="00802F55" w:rsidP="00A9586F">
            <w:pPr>
              <w:jc w:val="center"/>
              <w:rPr>
                <w:sz w:val="14"/>
                <w:szCs w:val="14"/>
              </w:rPr>
            </w:pPr>
            <w:r w:rsidRPr="00B37DB1">
              <w:rPr>
                <w:sz w:val="14"/>
                <w:szCs w:val="14"/>
              </w:rPr>
              <w:t xml:space="preserve">YEAR </w:t>
            </w:r>
            <w:r w:rsidRPr="00B37DB1">
              <w:rPr>
                <w:spacing w:val="-26"/>
                <w:sz w:val="14"/>
                <w:szCs w:val="14"/>
              </w:rPr>
              <w:t>FOURTEEN</w:t>
            </w:r>
          </w:p>
        </w:tc>
      </w:tr>
      <w:tr w:rsidR="00802F55" w:rsidRPr="00B37DB1" w:rsidTr="00A9586F">
        <w:trPr>
          <w:trHeight w:hRule="exact" w:val="800"/>
          <w:jc w:val="center"/>
        </w:trPr>
        <w:tc>
          <w:tcPr>
            <w:tcW w:w="1032" w:type="dxa"/>
            <w:tcBorders>
              <w:top w:val="single" w:sz="4" w:space="0" w:color="auto"/>
              <w:left w:val="double" w:sz="4" w:space="0" w:color="auto"/>
              <w:right w:val="double" w:sz="4" w:space="0" w:color="auto"/>
            </w:tcBorders>
            <w:shd w:val="pct5" w:color="auto" w:fill="FFFFFF"/>
            <w:vAlign w:val="center"/>
          </w:tcPr>
          <w:p w:rsidR="00802F55" w:rsidRPr="00B37DB1" w:rsidRDefault="00802F55" w:rsidP="00A9586F">
            <w:pPr>
              <w:rPr>
                <w:spacing w:val="-10"/>
                <w:sz w:val="14"/>
                <w:szCs w:val="14"/>
              </w:rPr>
            </w:pPr>
            <w:r w:rsidRPr="00B37DB1">
              <w:rPr>
                <w:spacing w:val="-10"/>
                <w:sz w:val="14"/>
                <w:szCs w:val="14"/>
              </w:rPr>
              <w:t>INSTRUCTOR</w:t>
            </w:r>
          </w:p>
        </w:tc>
        <w:tc>
          <w:tcPr>
            <w:tcW w:w="600" w:type="dxa"/>
            <w:tcBorders>
              <w:top w:val="double" w:sz="4" w:space="0" w:color="auto"/>
              <w:left w:val="nil"/>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Receive one-year LOA</w:t>
            </w:r>
          </w:p>
        </w:tc>
        <w:tc>
          <w:tcPr>
            <w:tcW w:w="671" w:type="dxa"/>
            <w:tcBorders>
              <w:top w:val="double" w:sz="4" w:space="0" w:color="auto"/>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top w:val="double" w:sz="4" w:space="0" w:color="auto"/>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top w:val="double" w:sz="4" w:space="0" w:color="auto"/>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top w:val="double" w:sz="4" w:space="0" w:color="auto"/>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top w:val="double" w:sz="4" w:space="0" w:color="auto"/>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top w:val="double" w:sz="4" w:space="0" w:color="auto"/>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top w:val="double" w:sz="4" w:space="0" w:color="auto"/>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top w:val="double" w:sz="4" w:space="0" w:color="auto"/>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top w:val="double" w:sz="4" w:space="0" w:color="auto"/>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top w:val="double" w:sz="4" w:space="0" w:color="auto"/>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top w:val="double" w:sz="4" w:space="0" w:color="auto"/>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top w:val="double" w:sz="4" w:space="0" w:color="auto"/>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top w:val="double" w:sz="4" w:space="0" w:color="auto"/>
              <w:bottom w:val="single" w:sz="4" w:space="0" w:color="auto"/>
              <w:right w:val="doub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r>
      <w:tr w:rsidR="00802F55" w:rsidRPr="00B37DB1" w:rsidTr="00A9586F">
        <w:trPr>
          <w:trHeight w:hRule="exact" w:val="800"/>
          <w:jc w:val="center"/>
        </w:trPr>
        <w:tc>
          <w:tcPr>
            <w:tcW w:w="1032" w:type="dxa"/>
            <w:tcBorders>
              <w:left w:val="double" w:sz="4" w:space="0" w:color="auto"/>
              <w:right w:val="double" w:sz="4" w:space="0" w:color="auto"/>
            </w:tcBorders>
            <w:shd w:val="pct5" w:color="auto" w:fill="FFFFFF"/>
            <w:vAlign w:val="center"/>
          </w:tcPr>
          <w:p w:rsidR="00802F55" w:rsidRPr="00B37DB1" w:rsidRDefault="00802F55" w:rsidP="00A9586F">
            <w:pPr>
              <w:rPr>
                <w:spacing w:val="-10"/>
                <w:sz w:val="14"/>
                <w:szCs w:val="14"/>
              </w:rPr>
            </w:pPr>
            <w:r w:rsidRPr="00B37DB1">
              <w:rPr>
                <w:spacing w:val="-10"/>
                <w:sz w:val="14"/>
                <w:szCs w:val="14"/>
              </w:rPr>
              <w:t>ASSISTANT PROFESSOR</w:t>
            </w:r>
          </w:p>
        </w:tc>
        <w:tc>
          <w:tcPr>
            <w:tcW w:w="600" w:type="dxa"/>
            <w:tcBorders>
              <w:left w:val="nil"/>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Receive one-year LOA</w:t>
            </w:r>
          </w:p>
        </w:tc>
        <w:tc>
          <w:tcPr>
            <w:tcW w:w="671" w:type="dxa"/>
            <w:tcBorders>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bottom w:val="single" w:sz="4" w:space="0" w:color="auto"/>
            </w:tcBorders>
            <w:shd w:val="clear" w:color="auto" w:fill="D9D9D9"/>
            <w:vAlign w:val="center"/>
          </w:tcPr>
          <w:p w:rsidR="00802F55" w:rsidRPr="00B37DB1" w:rsidRDefault="00802F55" w:rsidP="00A9586F">
            <w:pPr>
              <w:jc w:val="center"/>
              <w:rPr>
                <w:spacing w:val="-4"/>
                <w:sz w:val="14"/>
                <w:szCs w:val="14"/>
              </w:rPr>
            </w:pPr>
            <w:r w:rsidRPr="00B37DB1">
              <w:rPr>
                <w:spacing w:val="-4"/>
                <w:sz w:val="14"/>
                <w:szCs w:val="14"/>
              </w:rPr>
              <w:t>May  receive two-year LOA</w:t>
            </w:r>
          </w:p>
        </w:tc>
        <w:tc>
          <w:tcPr>
            <w:tcW w:w="720" w:type="dxa"/>
            <w:tcBorders>
              <w:bottom w:val="single" w:sz="4" w:space="0" w:color="auto"/>
            </w:tcBorders>
            <w:shd w:val="clear" w:color="auto" w:fill="D9D9D9"/>
            <w:vAlign w:val="center"/>
          </w:tcPr>
          <w:p w:rsidR="00802F55" w:rsidRPr="00B37DB1" w:rsidRDefault="00802F55" w:rsidP="00A9586F">
            <w:pPr>
              <w:jc w:val="center"/>
              <w:rPr>
                <w:spacing w:val="-4"/>
                <w:sz w:val="14"/>
                <w:szCs w:val="14"/>
              </w:rPr>
            </w:pPr>
            <w:r w:rsidRPr="00B37DB1">
              <w:rPr>
                <w:spacing w:val="-4"/>
                <w:sz w:val="14"/>
                <w:szCs w:val="14"/>
              </w:rPr>
              <w:t>May roll or receive two-year LOA</w:t>
            </w:r>
          </w:p>
        </w:tc>
        <w:tc>
          <w:tcPr>
            <w:tcW w:w="720" w:type="dxa"/>
            <w:tcBorders>
              <w:bottom w:val="single" w:sz="4" w:space="0" w:color="auto"/>
            </w:tcBorders>
            <w:shd w:val="clear" w:color="auto" w:fill="D9D9D9"/>
            <w:vAlign w:val="center"/>
          </w:tcPr>
          <w:p w:rsidR="00802F55" w:rsidRPr="00B37DB1" w:rsidRDefault="00802F55" w:rsidP="00A9586F">
            <w:pPr>
              <w:jc w:val="center"/>
              <w:rPr>
                <w:spacing w:val="-4"/>
                <w:sz w:val="14"/>
                <w:szCs w:val="14"/>
              </w:rPr>
            </w:pPr>
            <w:r w:rsidRPr="00B37DB1">
              <w:rPr>
                <w:spacing w:val="-4"/>
                <w:sz w:val="14"/>
                <w:szCs w:val="14"/>
              </w:rPr>
              <w:t>May roll or receive two-year LOA</w:t>
            </w:r>
          </w:p>
        </w:tc>
        <w:tc>
          <w:tcPr>
            <w:tcW w:w="720" w:type="dxa"/>
            <w:tcBorders>
              <w:bottom w:val="single" w:sz="4" w:space="0" w:color="auto"/>
            </w:tcBorders>
            <w:shd w:val="clear" w:color="auto" w:fill="D9D9D9"/>
            <w:vAlign w:val="center"/>
          </w:tcPr>
          <w:p w:rsidR="00802F55" w:rsidRPr="00B37DB1" w:rsidRDefault="00802F55" w:rsidP="00A9586F">
            <w:pPr>
              <w:jc w:val="center"/>
              <w:rPr>
                <w:spacing w:val="-4"/>
                <w:sz w:val="14"/>
                <w:szCs w:val="14"/>
              </w:rPr>
            </w:pPr>
            <w:r w:rsidRPr="00B37DB1">
              <w:rPr>
                <w:spacing w:val="-4"/>
                <w:sz w:val="14"/>
                <w:szCs w:val="14"/>
              </w:rPr>
              <w:t>May roll or receive two-year LOA</w:t>
            </w:r>
          </w:p>
        </w:tc>
        <w:tc>
          <w:tcPr>
            <w:tcW w:w="720" w:type="dxa"/>
            <w:tcBorders>
              <w:bottom w:val="single" w:sz="4" w:space="0" w:color="auto"/>
            </w:tcBorders>
            <w:shd w:val="clear" w:color="auto" w:fill="D9D9D9"/>
            <w:vAlign w:val="center"/>
          </w:tcPr>
          <w:p w:rsidR="00802F55" w:rsidRPr="00B37DB1" w:rsidRDefault="00802F55" w:rsidP="00A9586F">
            <w:pPr>
              <w:jc w:val="center"/>
              <w:rPr>
                <w:spacing w:val="-4"/>
                <w:sz w:val="14"/>
                <w:szCs w:val="14"/>
              </w:rPr>
            </w:pPr>
            <w:r w:rsidRPr="00B37DB1">
              <w:rPr>
                <w:spacing w:val="-4"/>
                <w:sz w:val="14"/>
                <w:szCs w:val="14"/>
              </w:rPr>
              <w:t>May roll or receive two-year LOA</w:t>
            </w:r>
          </w:p>
        </w:tc>
        <w:tc>
          <w:tcPr>
            <w:tcW w:w="720" w:type="dxa"/>
            <w:tcBorders>
              <w:bottom w:val="single" w:sz="4" w:space="0" w:color="auto"/>
            </w:tcBorders>
            <w:shd w:val="clear" w:color="auto" w:fill="D9D9D9"/>
            <w:vAlign w:val="center"/>
          </w:tcPr>
          <w:p w:rsidR="00802F55" w:rsidRPr="00B37DB1" w:rsidRDefault="00802F55" w:rsidP="00A9586F">
            <w:pPr>
              <w:jc w:val="center"/>
              <w:rPr>
                <w:spacing w:val="-4"/>
                <w:sz w:val="14"/>
                <w:szCs w:val="14"/>
              </w:rPr>
            </w:pPr>
            <w:r w:rsidRPr="00B37DB1">
              <w:rPr>
                <w:spacing w:val="-4"/>
                <w:sz w:val="14"/>
                <w:szCs w:val="14"/>
              </w:rPr>
              <w:t>May roll or receive two-year LOA</w:t>
            </w:r>
          </w:p>
        </w:tc>
        <w:tc>
          <w:tcPr>
            <w:tcW w:w="720" w:type="dxa"/>
            <w:tcBorders>
              <w:bottom w:val="sing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sing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sing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single" w:sz="4" w:space="0" w:color="auto"/>
              <w:right w:val="doub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r>
      <w:tr w:rsidR="00802F55" w:rsidRPr="00B37DB1" w:rsidTr="00A9586F">
        <w:trPr>
          <w:trHeight w:hRule="exact" w:val="800"/>
          <w:jc w:val="center"/>
        </w:trPr>
        <w:tc>
          <w:tcPr>
            <w:tcW w:w="1032" w:type="dxa"/>
            <w:tcBorders>
              <w:left w:val="double" w:sz="4" w:space="0" w:color="auto"/>
              <w:right w:val="double" w:sz="4" w:space="0" w:color="auto"/>
            </w:tcBorders>
            <w:shd w:val="pct5" w:color="auto" w:fill="FFFFFF"/>
            <w:vAlign w:val="center"/>
          </w:tcPr>
          <w:p w:rsidR="00802F55" w:rsidRPr="00B37DB1" w:rsidRDefault="00802F55" w:rsidP="00A9586F">
            <w:pPr>
              <w:rPr>
                <w:spacing w:val="-10"/>
                <w:sz w:val="14"/>
                <w:szCs w:val="14"/>
              </w:rPr>
            </w:pPr>
            <w:r w:rsidRPr="00B37DB1">
              <w:rPr>
                <w:spacing w:val="-10"/>
                <w:sz w:val="14"/>
                <w:szCs w:val="14"/>
              </w:rPr>
              <w:t>ASSOCIATE PROFESSOR</w:t>
            </w:r>
          </w:p>
        </w:tc>
        <w:tc>
          <w:tcPr>
            <w:tcW w:w="600" w:type="dxa"/>
            <w:tcBorders>
              <w:left w:val="nil"/>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Receive one-year LOA</w:t>
            </w:r>
          </w:p>
        </w:tc>
        <w:tc>
          <w:tcPr>
            <w:tcW w:w="671" w:type="dxa"/>
            <w:tcBorders>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bottom w:val="sing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bottom w:val="single" w:sz="4" w:space="0" w:color="auto"/>
            </w:tcBorders>
            <w:shd w:val="clear" w:color="auto" w:fill="D9D9D9"/>
            <w:vAlign w:val="center"/>
          </w:tcPr>
          <w:p w:rsidR="00802F55" w:rsidRPr="00B37DB1" w:rsidRDefault="00802F55" w:rsidP="00A9586F">
            <w:pPr>
              <w:jc w:val="center"/>
              <w:rPr>
                <w:spacing w:val="-4"/>
                <w:sz w:val="14"/>
                <w:szCs w:val="14"/>
              </w:rPr>
            </w:pPr>
            <w:r w:rsidRPr="00B37DB1">
              <w:rPr>
                <w:spacing w:val="-4"/>
                <w:sz w:val="14"/>
                <w:szCs w:val="14"/>
              </w:rPr>
              <w:t>May receive two-year LOA</w:t>
            </w:r>
          </w:p>
        </w:tc>
        <w:tc>
          <w:tcPr>
            <w:tcW w:w="720" w:type="dxa"/>
            <w:tcBorders>
              <w:bottom w:val="single" w:sz="4" w:space="0" w:color="auto"/>
            </w:tcBorders>
            <w:shd w:val="clear" w:color="auto" w:fill="D9D9D9"/>
            <w:vAlign w:val="center"/>
          </w:tcPr>
          <w:p w:rsidR="00802F55" w:rsidRPr="00B37DB1" w:rsidRDefault="00802F55" w:rsidP="00A9586F">
            <w:pPr>
              <w:jc w:val="center"/>
              <w:rPr>
                <w:spacing w:val="-4"/>
                <w:sz w:val="14"/>
                <w:szCs w:val="14"/>
              </w:rPr>
            </w:pPr>
            <w:r w:rsidRPr="00B37DB1">
              <w:rPr>
                <w:spacing w:val="-4"/>
                <w:sz w:val="14"/>
                <w:szCs w:val="14"/>
              </w:rPr>
              <w:t>May roll or receive two-year LOA</w:t>
            </w:r>
          </w:p>
        </w:tc>
        <w:tc>
          <w:tcPr>
            <w:tcW w:w="720" w:type="dxa"/>
            <w:tcBorders>
              <w:bottom w:val="single" w:sz="4" w:space="0" w:color="auto"/>
            </w:tcBorders>
            <w:shd w:val="clear" w:color="auto" w:fill="D9D9D9"/>
            <w:vAlign w:val="center"/>
          </w:tcPr>
          <w:p w:rsidR="00802F55" w:rsidRPr="00B37DB1" w:rsidRDefault="00802F55" w:rsidP="00A9586F">
            <w:pPr>
              <w:jc w:val="center"/>
              <w:rPr>
                <w:spacing w:val="-4"/>
                <w:sz w:val="14"/>
                <w:szCs w:val="14"/>
              </w:rPr>
            </w:pPr>
            <w:r w:rsidRPr="00B37DB1">
              <w:rPr>
                <w:spacing w:val="-4"/>
                <w:sz w:val="14"/>
                <w:szCs w:val="14"/>
              </w:rPr>
              <w:t>May roll or receive two-year LOA</w:t>
            </w:r>
          </w:p>
        </w:tc>
        <w:tc>
          <w:tcPr>
            <w:tcW w:w="720" w:type="dxa"/>
            <w:tcBorders>
              <w:bottom w:val="sing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sing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sing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sing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sing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sing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sing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single" w:sz="4" w:space="0" w:color="auto"/>
              <w:right w:val="doub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r>
      <w:tr w:rsidR="00802F55" w:rsidRPr="00B37DB1" w:rsidTr="00A9586F">
        <w:trPr>
          <w:trHeight w:hRule="exact" w:val="800"/>
          <w:jc w:val="center"/>
        </w:trPr>
        <w:tc>
          <w:tcPr>
            <w:tcW w:w="1032" w:type="dxa"/>
            <w:tcBorders>
              <w:left w:val="double" w:sz="4" w:space="0" w:color="auto"/>
              <w:bottom w:val="double" w:sz="4" w:space="0" w:color="auto"/>
              <w:right w:val="double" w:sz="4" w:space="0" w:color="auto"/>
            </w:tcBorders>
            <w:shd w:val="pct5" w:color="auto" w:fill="FFFFFF"/>
            <w:vAlign w:val="center"/>
          </w:tcPr>
          <w:p w:rsidR="00802F55" w:rsidRPr="00B37DB1" w:rsidRDefault="00802F55" w:rsidP="00A9586F">
            <w:pPr>
              <w:rPr>
                <w:spacing w:val="-10"/>
                <w:sz w:val="14"/>
                <w:szCs w:val="14"/>
              </w:rPr>
            </w:pPr>
            <w:r w:rsidRPr="00B37DB1">
              <w:rPr>
                <w:spacing w:val="-10"/>
                <w:sz w:val="14"/>
                <w:szCs w:val="14"/>
              </w:rPr>
              <w:t>PROFESSOR</w:t>
            </w:r>
          </w:p>
        </w:tc>
        <w:tc>
          <w:tcPr>
            <w:tcW w:w="600" w:type="dxa"/>
            <w:tcBorders>
              <w:left w:val="nil"/>
              <w:bottom w:val="doub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Receive one-year LOA</w:t>
            </w:r>
          </w:p>
        </w:tc>
        <w:tc>
          <w:tcPr>
            <w:tcW w:w="671" w:type="dxa"/>
            <w:tcBorders>
              <w:bottom w:val="double" w:sz="4" w:space="0" w:color="auto"/>
            </w:tcBorders>
            <w:shd w:val="clear" w:color="auto" w:fill="E6E6E6"/>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one-year LOA</w:t>
            </w:r>
          </w:p>
        </w:tc>
        <w:tc>
          <w:tcPr>
            <w:tcW w:w="720" w:type="dxa"/>
            <w:tcBorders>
              <w:bottom w:val="double" w:sz="4" w:space="0" w:color="auto"/>
            </w:tcBorders>
            <w:shd w:val="clear" w:color="auto" w:fill="D9D9D9"/>
            <w:vAlign w:val="center"/>
          </w:tcPr>
          <w:p w:rsidR="00802F55" w:rsidRPr="00B37DB1" w:rsidRDefault="00802F55" w:rsidP="00A9586F">
            <w:pPr>
              <w:jc w:val="center"/>
              <w:rPr>
                <w:spacing w:val="-4"/>
                <w:sz w:val="14"/>
                <w:szCs w:val="14"/>
              </w:rPr>
            </w:pPr>
            <w:r w:rsidRPr="00B37DB1">
              <w:rPr>
                <w:spacing w:val="-4"/>
                <w:sz w:val="14"/>
                <w:szCs w:val="14"/>
              </w:rPr>
              <w:t>May</w:t>
            </w:r>
          </w:p>
          <w:p w:rsidR="00802F55" w:rsidRPr="00B37DB1" w:rsidRDefault="00802F55" w:rsidP="00A9586F">
            <w:pPr>
              <w:jc w:val="center"/>
              <w:rPr>
                <w:spacing w:val="-4"/>
                <w:sz w:val="14"/>
                <w:szCs w:val="14"/>
              </w:rPr>
            </w:pPr>
            <w:r w:rsidRPr="00B37DB1">
              <w:rPr>
                <w:spacing w:val="-4"/>
                <w:sz w:val="14"/>
                <w:szCs w:val="14"/>
              </w:rPr>
              <w:t>receive two-year LOA</w:t>
            </w:r>
          </w:p>
        </w:tc>
        <w:tc>
          <w:tcPr>
            <w:tcW w:w="720" w:type="dxa"/>
            <w:tcBorders>
              <w:bottom w:val="double" w:sz="4" w:space="0" w:color="auto"/>
            </w:tcBorders>
            <w:shd w:val="clear" w:color="auto" w:fill="D9D9D9"/>
            <w:vAlign w:val="center"/>
          </w:tcPr>
          <w:p w:rsidR="00802F55" w:rsidRPr="00B37DB1" w:rsidRDefault="00802F55" w:rsidP="00A9586F">
            <w:pPr>
              <w:jc w:val="center"/>
              <w:rPr>
                <w:spacing w:val="-4"/>
                <w:sz w:val="14"/>
                <w:szCs w:val="14"/>
              </w:rPr>
            </w:pPr>
            <w:r w:rsidRPr="00B37DB1">
              <w:rPr>
                <w:spacing w:val="-4"/>
                <w:sz w:val="14"/>
                <w:szCs w:val="14"/>
              </w:rPr>
              <w:t>May roll or receive two-year LOA</w:t>
            </w:r>
          </w:p>
        </w:tc>
        <w:tc>
          <w:tcPr>
            <w:tcW w:w="720" w:type="dxa"/>
            <w:tcBorders>
              <w:bottom w:val="double" w:sz="4" w:space="0" w:color="auto"/>
            </w:tcBorders>
            <w:shd w:val="clear" w:color="auto" w:fill="D9D9D9"/>
            <w:vAlign w:val="center"/>
          </w:tcPr>
          <w:p w:rsidR="00802F55" w:rsidRPr="00B37DB1" w:rsidRDefault="00802F55" w:rsidP="00A9586F">
            <w:pPr>
              <w:jc w:val="center"/>
              <w:rPr>
                <w:spacing w:val="-4"/>
                <w:sz w:val="14"/>
                <w:szCs w:val="14"/>
              </w:rPr>
            </w:pPr>
            <w:r w:rsidRPr="00B37DB1">
              <w:rPr>
                <w:spacing w:val="-4"/>
                <w:sz w:val="14"/>
                <w:szCs w:val="14"/>
              </w:rPr>
              <w:t>May roll or receive two-year LOA</w:t>
            </w:r>
          </w:p>
        </w:tc>
        <w:tc>
          <w:tcPr>
            <w:tcW w:w="720" w:type="dxa"/>
            <w:tcBorders>
              <w:bottom w:val="doub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doub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doub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doub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doub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doub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doub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May roll</w:t>
            </w:r>
          </w:p>
          <w:p w:rsidR="00802F55" w:rsidRPr="00B37DB1" w:rsidRDefault="00802F55" w:rsidP="00A9586F">
            <w:pPr>
              <w:jc w:val="center"/>
              <w:rPr>
                <w:spacing w:val="-4"/>
                <w:sz w:val="14"/>
                <w:szCs w:val="14"/>
              </w:rPr>
            </w:pPr>
            <w:r w:rsidRPr="00B37DB1">
              <w:rPr>
                <w:spacing w:val="-4"/>
                <w:sz w:val="14"/>
                <w:szCs w:val="14"/>
              </w:rPr>
              <w:t xml:space="preserve">or receive </w:t>
            </w:r>
            <w:r w:rsidRPr="00B37DB1">
              <w:rPr>
                <w:spacing w:val="-8"/>
                <w:sz w:val="14"/>
                <w:szCs w:val="14"/>
              </w:rPr>
              <w:t>three-year</w:t>
            </w:r>
            <w:r w:rsidRPr="00B37DB1">
              <w:rPr>
                <w:spacing w:val="-4"/>
                <w:sz w:val="14"/>
                <w:szCs w:val="14"/>
              </w:rPr>
              <w:t xml:space="preserve"> LOA</w:t>
            </w:r>
          </w:p>
        </w:tc>
        <w:tc>
          <w:tcPr>
            <w:tcW w:w="720" w:type="dxa"/>
            <w:tcBorders>
              <w:bottom w:val="doub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c>
          <w:tcPr>
            <w:tcW w:w="720" w:type="dxa"/>
            <w:tcBorders>
              <w:bottom w:val="double" w:sz="4" w:space="0" w:color="auto"/>
              <w:right w:val="double" w:sz="4" w:space="0" w:color="auto"/>
            </w:tcBorders>
            <w:shd w:val="clear" w:color="auto" w:fill="C0C0C0"/>
            <w:vAlign w:val="center"/>
          </w:tcPr>
          <w:p w:rsidR="00802F55" w:rsidRPr="00B37DB1" w:rsidRDefault="00802F55" w:rsidP="00A9586F">
            <w:pPr>
              <w:jc w:val="center"/>
              <w:rPr>
                <w:spacing w:val="-4"/>
                <w:sz w:val="14"/>
                <w:szCs w:val="14"/>
              </w:rPr>
            </w:pPr>
            <w:r w:rsidRPr="00B37DB1">
              <w:rPr>
                <w:spacing w:val="-4"/>
                <w:sz w:val="14"/>
                <w:szCs w:val="14"/>
              </w:rPr>
              <w:t xml:space="preserve">May roll or Receive </w:t>
            </w:r>
            <w:r w:rsidRPr="00B37DB1">
              <w:rPr>
                <w:spacing w:val="-8"/>
                <w:sz w:val="14"/>
                <w:szCs w:val="14"/>
              </w:rPr>
              <w:t>three-year</w:t>
            </w:r>
            <w:r w:rsidRPr="00B37DB1">
              <w:rPr>
                <w:spacing w:val="-4"/>
                <w:sz w:val="14"/>
                <w:szCs w:val="14"/>
              </w:rPr>
              <w:t xml:space="preserve"> LOA</w:t>
            </w:r>
          </w:p>
        </w:tc>
      </w:tr>
    </w:tbl>
    <w:p w:rsidR="00802F55" w:rsidRDefault="00802F55" w:rsidP="00802F55">
      <w:pPr>
        <w:rPr>
          <w:b/>
          <w:bCs/>
          <w:sz w:val="20"/>
          <w:szCs w:val="20"/>
        </w:rPr>
      </w:pPr>
    </w:p>
    <w:p w:rsidR="00802F55" w:rsidRPr="0056318E" w:rsidRDefault="00802F55" w:rsidP="00802F55">
      <w:pPr>
        <w:rPr>
          <w:b/>
          <w:sz w:val="20"/>
          <w:szCs w:val="20"/>
        </w:rPr>
      </w:pPr>
      <w:r w:rsidRPr="0056318E">
        <w:rPr>
          <w:b/>
          <w:bCs/>
          <w:sz w:val="20"/>
          <w:szCs w:val="20"/>
        </w:rPr>
        <w:t>Schedule</w:t>
      </w:r>
    </w:p>
    <w:p w:rsidR="00802F55" w:rsidRPr="0056318E" w:rsidRDefault="00802F55" w:rsidP="00802F55">
      <w:pPr>
        <w:ind w:firstLine="720"/>
        <w:jc w:val="both"/>
        <w:rPr>
          <w:b/>
          <w:bCs/>
          <w:sz w:val="20"/>
          <w:szCs w:val="20"/>
        </w:rPr>
      </w:pPr>
      <w:r w:rsidRPr="0056318E">
        <w:rPr>
          <w:sz w:val="20"/>
          <w:szCs w:val="20"/>
        </w:rPr>
        <w:t>The schedule below will be followed in applying for multi-year Letters of Agreement:</w:t>
      </w:r>
    </w:p>
    <w:p w:rsidR="00802F55" w:rsidRPr="0056318E" w:rsidRDefault="00802F55" w:rsidP="00802F55">
      <w:pPr>
        <w:ind w:left="360"/>
        <w:jc w:val="both"/>
        <w:rPr>
          <w:b/>
          <w:bCs/>
          <w:sz w:val="20"/>
          <w:szCs w:val="20"/>
        </w:rPr>
      </w:pPr>
    </w:p>
    <w:p w:rsidR="00802F55" w:rsidRPr="0056318E" w:rsidRDefault="00802F55" w:rsidP="00802F55">
      <w:pPr>
        <w:tabs>
          <w:tab w:val="left" w:leader="dot" w:pos="3420"/>
        </w:tabs>
        <w:ind w:firstLine="720"/>
        <w:rPr>
          <w:sz w:val="20"/>
          <w:szCs w:val="20"/>
        </w:rPr>
      </w:pPr>
      <w:r w:rsidRPr="0056318E">
        <w:rPr>
          <w:sz w:val="20"/>
          <w:szCs w:val="20"/>
        </w:rPr>
        <w:t xml:space="preserve">By the first week in </w:t>
      </w:r>
      <w:r>
        <w:rPr>
          <w:sz w:val="20"/>
          <w:szCs w:val="20"/>
        </w:rPr>
        <w:t>September</w:t>
      </w:r>
      <w:r w:rsidRPr="0056318E">
        <w:rPr>
          <w:sz w:val="20"/>
          <w:szCs w:val="20"/>
        </w:rPr>
        <w:tab/>
        <w:t>Formal Application and Portfolio presented to the Dean</w:t>
      </w:r>
    </w:p>
    <w:p w:rsidR="00802F55" w:rsidRPr="0056318E" w:rsidRDefault="00802F55" w:rsidP="00802F55">
      <w:pPr>
        <w:tabs>
          <w:tab w:val="left" w:leader="dot" w:pos="3420"/>
        </w:tabs>
        <w:ind w:left="432" w:firstLine="720"/>
        <w:rPr>
          <w:sz w:val="20"/>
          <w:szCs w:val="20"/>
        </w:rPr>
      </w:pPr>
    </w:p>
    <w:p w:rsidR="00802F55" w:rsidRPr="0056318E" w:rsidRDefault="00802F55" w:rsidP="00802F55">
      <w:pPr>
        <w:tabs>
          <w:tab w:val="left" w:leader="dot" w:pos="3420"/>
        </w:tabs>
        <w:ind w:left="720"/>
        <w:rPr>
          <w:sz w:val="20"/>
          <w:szCs w:val="20"/>
        </w:rPr>
      </w:pPr>
      <w:r w:rsidRPr="0056318E">
        <w:rPr>
          <w:sz w:val="20"/>
          <w:szCs w:val="20"/>
        </w:rPr>
        <w:t xml:space="preserve">By </w:t>
      </w:r>
      <w:r>
        <w:rPr>
          <w:sz w:val="20"/>
          <w:szCs w:val="20"/>
        </w:rPr>
        <w:t>October 15</w:t>
      </w:r>
      <w:r w:rsidRPr="0056318E">
        <w:rPr>
          <w:sz w:val="20"/>
          <w:szCs w:val="20"/>
        </w:rPr>
        <w:t xml:space="preserve"> </w:t>
      </w:r>
      <w:r w:rsidRPr="0056318E">
        <w:rPr>
          <w:sz w:val="20"/>
          <w:szCs w:val="20"/>
        </w:rPr>
        <w:tab/>
        <w:t>Formal Application and Portfolio with Dean’s recommendation presented to</w:t>
      </w:r>
    </w:p>
    <w:p w:rsidR="00802F55" w:rsidRPr="0056318E" w:rsidRDefault="00802F55" w:rsidP="00802F55">
      <w:pPr>
        <w:tabs>
          <w:tab w:val="left" w:pos="3420"/>
        </w:tabs>
        <w:ind w:left="720"/>
        <w:rPr>
          <w:sz w:val="20"/>
          <w:szCs w:val="20"/>
        </w:rPr>
      </w:pPr>
      <w:r w:rsidRPr="0056318E">
        <w:rPr>
          <w:sz w:val="20"/>
          <w:szCs w:val="20"/>
        </w:rPr>
        <w:tab/>
        <w:t>the Faculty Promotion and Evaluation Committee</w:t>
      </w:r>
    </w:p>
    <w:p w:rsidR="00802F55" w:rsidRPr="0056318E" w:rsidRDefault="00802F55" w:rsidP="00802F55">
      <w:pPr>
        <w:tabs>
          <w:tab w:val="left" w:leader="dot" w:pos="3420"/>
        </w:tabs>
        <w:ind w:left="720"/>
        <w:rPr>
          <w:sz w:val="20"/>
          <w:szCs w:val="20"/>
        </w:rPr>
      </w:pPr>
    </w:p>
    <w:p w:rsidR="00802F55" w:rsidRPr="0056318E" w:rsidRDefault="00802F55" w:rsidP="00802F55">
      <w:pPr>
        <w:tabs>
          <w:tab w:val="left" w:leader="dot" w:pos="3420"/>
        </w:tabs>
        <w:ind w:left="720"/>
        <w:rPr>
          <w:sz w:val="20"/>
          <w:szCs w:val="20"/>
        </w:rPr>
      </w:pPr>
      <w:r w:rsidRPr="0056318E">
        <w:rPr>
          <w:sz w:val="20"/>
          <w:szCs w:val="20"/>
        </w:rPr>
        <w:t xml:space="preserve">By </w:t>
      </w:r>
      <w:r>
        <w:rPr>
          <w:sz w:val="20"/>
          <w:szCs w:val="20"/>
        </w:rPr>
        <w:t>January</w:t>
      </w:r>
      <w:r w:rsidRPr="0056318E">
        <w:rPr>
          <w:sz w:val="20"/>
          <w:szCs w:val="20"/>
        </w:rPr>
        <w:t xml:space="preserve"> 15</w:t>
      </w:r>
      <w:r w:rsidRPr="0056318E">
        <w:rPr>
          <w:sz w:val="20"/>
          <w:szCs w:val="20"/>
        </w:rPr>
        <w:tab/>
        <w:t>Formal Application and Portfolio with Faculty Promotion and Affairs</w:t>
      </w:r>
    </w:p>
    <w:p w:rsidR="00802F55" w:rsidRPr="0056318E" w:rsidRDefault="00802F55" w:rsidP="00802F55">
      <w:pPr>
        <w:tabs>
          <w:tab w:val="left" w:pos="3420"/>
        </w:tabs>
        <w:ind w:left="720"/>
        <w:rPr>
          <w:sz w:val="20"/>
          <w:szCs w:val="20"/>
        </w:rPr>
      </w:pPr>
      <w:r w:rsidRPr="0056318E">
        <w:rPr>
          <w:sz w:val="20"/>
          <w:szCs w:val="20"/>
        </w:rPr>
        <w:tab/>
        <w:t>Committee’s recommendation presented to the Provost</w:t>
      </w:r>
    </w:p>
    <w:p w:rsidR="00802F55" w:rsidRPr="0056318E" w:rsidRDefault="00802F55" w:rsidP="00802F55">
      <w:pPr>
        <w:tabs>
          <w:tab w:val="left" w:leader="dot" w:pos="3420"/>
        </w:tabs>
        <w:ind w:left="720"/>
        <w:rPr>
          <w:sz w:val="20"/>
          <w:szCs w:val="20"/>
        </w:rPr>
      </w:pPr>
    </w:p>
    <w:p w:rsidR="00802F55" w:rsidRPr="0056318E" w:rsidRDefault="00802F55" w:rsidP="00802F55">
      <w:pPr>
        <w:tabs>
          <w:tab w:val="left" w:leader="dot" w:pos="3420"/>
        </w:tabs>
        <w:ind w:left="720"/>
        <w:rPr>
          <w:sz w:val="20"/>
          <w:szCs w:val="20"/>
        </w:rPr>
      </w:pPr>
      <w:r w:rsidRPr="0056318E">
        <w:rPr>
          <w:sz w:val="20"/>
          <w:szCs w:val="20"/>
        </w:rPr>
        <w:t xml:space="preserve">By </w:t>
      </w:r>
      <w:r>
        <w:rPr>
          <w:sz w:val="20"/>
          <w:szCs w:val="20"/>
        </w:rPr>
        <w:t>February 15</w:t>
      </w:r>
      <w:r w:rsidRPr="0056318E">
        <w:rPr>
          <w:sz w:val="20"/>
          <w:szCs w:val="20"/>
        </w:rPr>
        <w:tab/>
        <w:t>Formal Application and Portfolio being recommended and presented to the President</w:t>
      </w:r>
    </w:p>
    <w:p w:rsidR="00802F55" w:rsidRPr="0056318E" w:rsidRDefault="00802F55" w:rsidP="00802F55">
      <w:pPr>
        <w:tabs>
          <w:tab w:val="left" w:leader="dot" w:pos="3420"/>
        </w:tabs>
        <w:ind w:left="720"/>
        <w:rPr>
          <w:sz w:val="20"/>
          <w:szCs w:val="20"/>
        </w:rPr>
      </w:pPr>
    </w:p>
    <w:p w:rsidR="00802F55" w:rsidRPr="0056318E" w:rsidRDefault="00802F55" w:rsidP="00802F55">
      <w:pPr>
        <w:tabs>
          <w:tab w:val="left" w:leader="dot" w:pos="3420"/>
        </w:tabs>
        <w:ind w:left="720"/>
        <w:rPr>
          <w:sz w:val="20"/>
          <w:szCs w:val="20"/>
        </w:rPr>
      </w:pPr>
      <w:r w:rsidRPr="0056318E">
        <w:rPr>
          <w:sz w:val="20"/>
          <w:szCs w:val="20"/>
        </w:rPr>
        <w:t>April Board Meeting</w:t>
      </w:r>
      <w:r w:rsidRPr="0056318E">
        <w:rPr>
          <w:sz w:val="20"/>
          <w:szCs w:val="20"/>
        </w:rPr>
        <w:tab/>
        <w:t>Recommendation of President to Board of Trustees</w:t>
      </w:r>
    </w:p>
    <w:p w:rsidR="00802F55" w:rsidRPr="0056318E" w:rsidRDefault="00802F55" w:rsidP="00802F55">
      <w:pPr>
        <w:tabs>
          <w:tab w:val="left" w:leader="dot" w:pos="3420"/>
        </w:tabs>
        <w:ind w:left="720"/>
        <w:rPr>
          <w:sz w:val="20"/>
          <w:szCs w:val="20"/>
        </w:rPr>
      </w:pPr>
    </w:p>
    <w:p w:rsidR="00802F55" w:rsidRPr="0056318E" w:rsidRDefault="00802F55" w:rsidP="00802F55">
      <w:pPr>
        <w:tabs>
          <w:tab w:val="left" w:leader="dot" w:pos="3420"/>
        </w:tabs>
        <w:ind w:left="720"/>
        <w:rPr>
          <w:sz w:val="20"/>
          <w:szCs w:val="20"/>
        </w:rPr>
      </w:pPr>
      <w:r w:rsidRPr="0056318E">
        <w:rPr>
          <w:sz w:val="20"/>
          <w:szCs w:val="20"/>
        </w:rPr>
        <w:t>April 30</w:t>
      </w:r>
      <w:r w:rsidRPr="0056318E">
        <w:rPr>
          <w:sz w:val="20"/>
          <w:szCs w:val="20"/>
        </w:rPr>
        <w:tab/>
        <w:t>Applicant Notified</w:t>
      </w:r>
    </w:p>
    <w:p w:rsidR="00802F55" w:rsidRPr="00B37DB1" w:rsidRDefault="00802F55" w:rsidP="00802F55">
      <w:pPr>
        <w:ind w:left="576"/>
        <w:rPr>
          <w:sz w:val="20"/>
          <w:szCs w:val="20"/>
        </w:rPr>
      </w:pPr>
    </w:p>
    <w:p w:rsidR="00802F55" w:rsidRPr="00B37DB1" w:rsidRDefault="00802F55" w:rsidP="00802F55">
      <w:pPr>
        <w:ind w:left="360"/>
        <w:jc w:val="both"/>
        <w:rPr>
          <w:sz w:val="20"/>
          <w:szCs w:val="20"/>
        </w:rPr>
      </w:pPr>
    </w:p>
    <w:p w:rsidR="00802F55" w:rsidRPr="00B37DB1" w:rsidRDefault="00802F55" w:rsidP="00802F55">
      <w:pPr>
        <w:numPr>
          <w:ilvl w:val="1"/>
          <w:numId w:val="1"/>
        </w:numPr>
        <w:rPr>
          <w:b/>
          <w:sz w:val="20"/>
          <w:szCs w:val="20"/>
        </w:rPr>
      </w:pPr>
      <w:r w:rsidRPr="00B37DB1">
        <w:rPr>
          <w:b/>
          <w:sz w:val="20"/>
          <w:szCs w:val="20"/>
        </w:rPr>
        <w:t>Faculty Appeal</w:t>
      </w:r>
    </w:p>
    <w:p w:rsidR="00802F55" w:rsidRPr="00B37DB1" w:rsidRDefault="00802F55" w:rsidP="00802F55">
      <w:pPr>
        <w:ind w:left="720"/>
        <w:jc w:val="both"/>
        <w:rPr>
          <w:sz w:val="20"/>
          <w:szCs w:val="20"/>
        </w:rPr>
      </w:pPr>
      <w:r w:rsidRPr="00B37DB1">
        <w:rPr>
          <w:sz w:val="20"/>
          <w:szCs w:val="20"/>
        </w:rPr>
        <w:t xml:space="preserve">Should the School Dean </w:t>
      </w:r>
      <w:r>
        <w:rPr>
          <w:sz w:val="20"/>
          <w:szCs w:val="20"/>
        </w:rPr>
        <w:t xml:space="preserve">or the Faculty Promotion and Evaluation Committee </w:t>
      </w:r>
      <w:r w:rsidRPr="00B37DB1">
        <w:rPr>
          <w:sz w:val="20"/>
          <w:szCs w:val="20"/>
        </w:rPr>
        <w:t>not recommend a multi-year Letter of Agreement, the faculty member may appeal to the Provost</w:t>
      </w:r>
      <w:r>
        <w:rPr>
          <w:sz w:val="20"/>
          <w:szCs w:val="20"/>
        </w:rPr>
        <w:t>, who may uphold or reverse such recommendation. No further appeal of such recommendation shall be available. If a conflict of interest exists between the faculty member and the Provost, the Associate Provost shall conduct the review on appeal.</w:t>
      </w:r>
      <w:r w:rsidRPr="00B37DB1">
        <w:rPr>
          <w:sz w:val="20"/>
          <w:szCs w:val="20"/>
        </w:rPr>
        <w:t xml:space="preserve"> </w:t>
      </w:r>
    </w:p>
    <w:p w:rsidR="00802F55" w:rsidRPr="00B37DB1" w:rsidRDefault="00802F55" w:rsidP="00802F55">
      <w:pPr>
        <w:jc w:val="both"/>
        <w:rPr>
          <w:sz w:val="20"/>
          <w:szCs w:val="20"/>
        </w:rPr>
      </w:pPr>
    </w:p>
    <w:p w:rsidR="00802F55" w:rsidRPr="00B37DB1" w:rsidRDefault="00802F55" w:rsidP="00802F55">
      <w:pPr>
        <w:numPr>
          <w:ilvl w:val="1"/>
          <w:numId w:val="1"/>
        </w:numPr>
        <w:rPr>
          <w:b/>
          <w:sz w:val="20"/>
          <w:szCs w:val="20"/>
        </w:rPr>
      </w:pPr>
      <w:r w:rsidRPr="00B37DB1">
        <w:rPr>
          <w:b/>
          <w:bCs/>
          <w:sz w:val="20"/>
          <w:szCs w:val="20"/>
        </w:rPr>
        <w:t>Authority to Award Multi-Year Letters of Agreement</w:t>
      </w:r>
    </w:p>
    <w:p w:rsidR="00802F55" w:rsidRPr="00B37DB1" w:rsidRDefault="00802F55" w:rsidP="00802F55">
      <w:pPr>
        <w:ind w:left="720"/>
        <w:jc w:val="both"/>
        <w:rPr>
          <w:sz w:val="20"/>
          <w:szCs w:val="20"/>
        </w:rPr>
      </w:pPr>
      <w:r w:rsidRPr="00B37DB1">
        <w:rPr>
          <w:spacing w:val="-2"/>
          <w:sz w:val="20"/>
          <w:szCs w:val="20"/>
        </w:rPr>
        <w:t xml:space="preserve">The Board of Trustees holds the sole authority to grant multi-year Letters of Agreement based upon the recommendation of the President. The President relies on the recommendations of the Provost, and the President’s own review of the application in arriving at a recommendation to the Board. </w:t>
      </w:r>
      <w:r w:rsidRPr="00B37DB1">
        <w:rPr>
          <w:sz w:val="20"/>
          <w:szCs w:val="20"/>
        </w:rPr>
        <w:t xml:space="preserve">The awarding of multi-year Letters of Agreement is contingent upon the ability of the University to adequately fund the particular academic program in response to student enrollment and continued program viability. </w:t>
      </w:r>
    </w:p>
    <w:p w:rsidR="00802F55" w:rsidRPr="00B37DB1" w:rsidRDefault="00802F55" w:rsidP="00802F55">
      <w:pPr>
        <w:ind w:left="720"/>
        <w:jc w:val="both"/>
        <w:rPr>
          <w:sz w:val="20"/>
          <w:szCs w:val="20"/>
        </w:rPr>
      </w:pPr>
    </w:p>
    <w:p w:rsidR="00802F55" w:rsidRDefault="00802F55" w:rsidP="00802F55">
      <w:pPr>
        <w:ind w:left="720"/>
        <w:jc w:val="both"/>
        <w:rPr>
          <w:spacing w:val="-2"/>
          <w:sz w:val="20"/>
          <w:szCs w:val="20"/>
        </w:rPr>
      </w:pPr>
      <w:r w:rsidRPr="00B37DB1">
        <w:rPr>
          <w:sz w:val="20"/>
          <w:szCs w:val="20"/>
        </w:rPr>
        <w:t xml:space="preserve">The awarding of multi-year Letters of Agreement is not automatic upon the attainment of minimum criteria; </w:t>
      </w:r>
      <w:r w:rsidRPr="00B37DB1">
        <w:rPr>
          <w:spacing w:val="-2"/>
          <w:sz w:val="20"/>
          <w:szCs w:val="20"/>
        </w:rPr>
        <w:t xml:space="preserve">if the multi-year Letter of Agreement is not granted, the faculty member may apply again the following year, provided all minimum requirements are met. </w:t>
      </w:r>
    </w:p>
    <w:p w:rsidR="001629D7" w:rsidRDefault="001629D7" w:rsidP="00802F55">
      <w:pPr>
        <w:ind w:left="720"/>
        <w:jc w:val="both"/>
        <w:rPr>
          <w:spacing w:val="-2"/>
          <w:sz w:val="20"/>
          <w:szCs w:val="20"/>
        </w:rPr>
      </w:pPr>
    </w:p>
    <w:p w:rsidR="001629D7" w:rsidRPr="00E10807" w:rsidRDefault="001629D7" w:rsidP="00E10807">
      <w:pPr>
        <w:pStyle w:val="ListParagraph"/>
        <w:numPr>
          <w:ilvl w:val="1"/>
          <w:numId w:val="1"/>
        </w:numPr>
        <w:jc w:val="both"/>
        <w:rPr>
          <w:spacing w:val="-2"/>
          <w:sz w:val="20"/>
          <w:szCs w:val="20"/>
        </w:rPr>
      </w:pPr>
      <w:r>
        <w:rPr>
          <w:b/>
          <w:spacing w:val="-2"/>
          <w:sz w:val="20"/>
          <w:szCs w:val="20"/>
        </w:rPr>
        <w:t>Duration of Multi-Year Letters of Agreement</w:t>
      </w:r>
    </w:p>
    <w:p w:rsidR="00802F55" w:rsidRPr="00B37DB1" w:rsidRDefault="00802F55" w:rsidP="00E10807">
      <w:pPr>
        <w:jc w:val="both"/>
        <w:rPr>
          <w:spacing w:val="-2"/>
          <w:sz w:val="20"/>
          <w:szCs w:val="20"/>
        </w:rPr>
      </w:pPr>
    </w:p>
    <w:p w:rsidR="001629D7" w:rsidRDefault="00802F55" w:rsidP="00802F55">
      <w:pPr>
        <w:ind w:left="720"/>
        <w:jc w:val="both"/>
        <w:rPr>
          <w:sz w:val="20"/>
          <w:szCs w:val="20"/>
        </w:rPr>
      </w:pPr>
      <w:r w:rsidRPr="00143419">
        <w:rPr>
          <w:sz w:val="20"/>
          <w:szCs w:val="20"/>
        </w:rPr>
        <w:t xml:space="preserve">Once granted, a multi-year Letter of Agreement will roll over automatically </w:t>
      </w:r>
      <w:r w:rsidR="001629D7">
        <w:rPr>
          <w:sz w:val="20"/>
          <w:szCs w:val="20"/>
        </w:rPr>
        <w:t xml:space="preserve">for a total of six academic years, unless the faculty member is notified in writing by the Provost that the rollover is being discontinued. In the seventh year, a two-year or three-year Letter of Agreement will automatically revert to a one-year Letter of Agreement. During this year, the faculty member may reapply for the Multi-Year Letter of Agreement for another six years. </w:t>
      </w:r>
    </w:p>
    <w:p w:rsidR="001629D7" w:rsidRDefault="001629D7" w:rsidP="00802F55">
      <w:pPr>
        <w:ind w:left="720"/>
        <w:jc w:val="both"/>
        <w:rPr>
          <w:sz w:val="20"/>
          <w:szCs w:val="20"/>
        </w:rPr>
      </w:pPr>
    </w:p>
    <w:p w:rsidR="001629D7" w:rsidRDefault="001629D7" w:rsidP="00802F55">
      <w:pPr>
        <w:ind w:left="720"/>
        <w:jc w:val="both"/>
        <w:rPr>
          <w:sz w:val="20"/>
          <w:szCs w:val="20"/>
        </w:rPr>
      </w:pPr>
      <w:r>
        <w:rPr>
          <w:sz w:val="20"/>
          <w:szCs w:val="20"/>
        </w:rPr>
        <w:t>Example: A faculty member is awarded a three-year Letter of Agreement during the 2020-2021 academic year to begin in the 2021-2022 academic year.</w:t>
      </w:r>
    </w:p>
    <w:p w:rsidR="001629D7" w:rsidRDefault="001629D7" w:rsidP="00802F55">
      <w:pPr>
        <w:ind w:left="720"/>
        <w:jc w:val="both"/>
        <w:rPr>
          <w:sz w:val="20"/>
          <w:szCs w:val="20"/>
        </w:rPr>
      </w:pPr>
    </w:p>
    <w:p w:rsidR="001629D7" w:rsidRDefault="001629D7" w:rsidP="00802F55">
      <w:pPr>
        <w:ind w:left="720"/>
        <w:jc w:val="both"/>
        <w:rPr>
          <w:sz w:val="20"/>
          <w:szCs w:val="20"/>
        </w:rPr>
      </w:pPr>
      <w:r>
        <w:rPr>
          <w:sz w:val="20"/>
          <w:szCs w:val="20"/>
        </w:rPr>
        <w:t>Year One (21-22) – Three Year LOA</w:t>
      </w:r>
    </w:p>
    <w:p w:rsidR="001629D7" w:rsidRDefault="001629D7" w:rsidP="00802F55">
      <w:pPr>
        <w:ind w:left="720"/>
        <w:jc w:val="both"/>
        <w:rPr>
          <w:sz w:val="20"/>
          <w:szCs w:val="20"/>
        </w:rPr>
      </w:pPr>
      <w:r>
        <w:rPr>
          <w:sz w:val="20"/>
          <w:szCs w:val="20"/>
        </w:rPr>
        <w:t>Year Two (22-23) – Three Year LOA</w:t>
      </w:r>
    </w:p>
    <w:p w:rsidR="001629D7" w:rsidRDefault="001629D7" w:rsidP="00802F55">
      <w:pPr>
        <w:ind w:left="720"/>
        <w:jc w:val="both"/>
        <w:rPr>
          <w:sz w:val="20"/>
          <w:szCs w:val="20"/>
        </w:rPr>
      </w:pPr>
      <w:r>
        <w:rPr>
          <w:sz w:val="20"/>
          <w:szCs w:val="20"/>
        </w:rPr>
        <w:t>Year Three (23-24) – Three Year LOA</w:t>
      </w:r>
    </w:p>
    <w:p w:rsidR="001629D7" w:rsidRDefault="001629D7" w:rsidP="00802F55">
      <w:pPr>
        <w:ind w:left="720"/>
        <w:jc w:val="both"/>
        <w:rPr>
          <w:sz w:val="20"/>
          <w:szCs w:val="20"/>
        </w:rPr>
      </w:pPr>
      <w:r>
        <w:rPr>
          <w:sz w:val="20"/>
          <w:szCs w:val="20"/>
        </w:rPr>
        <w:t>Year Four (24-25) – Three Year LOA</w:t>
      </w:r>
    </w:p>
    <w:p w:rsidR="001629D7" w:rsidRDefault="001629D7" w:rsidP="00802F55">
      <w:pPr>
        <w:ind w:left="720"/>
        <w:jc w:val="both"/>
        <w:rPr>
          <w:sz w:val="20"/>
          <w:szCs w:val="20"/>
        </w:rPr>
      </w:pPr>
      <w:r>
        <w:rPr>
          <w:sz w:val="20"/>
          <w:szCs w:val="20"/>
        </w:rPr>
        <w:t>Year Five (25-26) – Three Year LOA</w:t>
      </w:r>
    </w:p>
    <w:p w:rsidR="001629D7" w:rsidRDefault="001629D7" w:rsidP="00802F55">
      <w:pPr>
        <w:ind w:left="720"/>
        <w:jc w:val="both"/>
        <w:rPr>
          <w:sz w:val="20"/>
          <w:szCs w:val="20"/>
        </w:rPr>
      </w:pPr>
      <w:r>
        <w:rPr>
          <w:sz w:val="20"/>
          <w:szCs w:val="20"/>
        </w:rPr>
        <w:t>Year Six (26-27) – Three Year LOA</w:t>
      </w:r>
    </w:p>
    <w:p w:rsidR="001629D7" w:rsidRDefault="001629D7" w:rsidP="00802F55">
      <w:pPr>
        <w:ind w:left="720"/>
        <w:jc w:val="both"/>
        <w:rPr>
          <w:sz w:val="20"/>
          <w:szCs w:val="20"/>
        </w:rPr>
      </w:pPr>
      <w:r>
        <w:rPr>
          <w:sz w:val="20"/>
          <w:szCs w:val="20"/>
        </w:rPr>
        <w:t>Year Seven (27-28) – One Year LOA</w:t>
      </w:r>
    </w:p>
    <w:p w:rsidR="001629D7" w:rsidRDefault="001629D7" w:rsidP="00802F55">
      <w:pPr>
        <w:ind w:left="720"/>
        <w:jc w:val="both"/>
        <w:rPr>
          <w:sz w:val="20"/>
          <w:szCs w:val="20"/>
        </w:rPr>
      </w:pPr>
    </w:p>
    <w:p w:rsidR="001629D7" w:rsidRDefault="001629D7" w:rsidP="00802F55">
      <w:pPr>
        <w:ind w:left="720"/>
        <w:jc w:val="both"/>
        <w:rPr>
          <w:sz w:val="20"/>
          <w:szCs w:val="20"/>
        </w:rPr>
      </w:pPr>
      <w:r>
        <w:rPr>
          <w:sz w:val="20"/>
          <w:szCs w:val="20"/>
        </w:rPr>
        <w:t xml:space="preserve">The faculty member may reapply for his or her Multi-Year LOA during Year Seven. </w:t>
      </w:r>
    </w:p>
    <w:p w:rsidR="001629D7" w:rsidRDefault="001629D7" w:rsidP="00E861D5">
      <w:pPr>
        <w:jc w:val="both"/>
        <w:rPr>
          <w:sz w:val="20"/>
          <w:szCs w:val="20"/>
        </w:rPr>
      </w:pPr>
      <w:bookmarkStart w:id="1" w:name="_GoBack"/>
      <w:bookmarkEnd w:id="1"/>
    </w:p>
    <w:p w:rsidR="00802F55" w:rsidRDefault="001629D7" w:rsidP="00802F55">
      <w:pPr>
        <w:ind w:left="720"/>
        <w:jc w:val="both"/>
        <w:rPr>
          <w:sz w:val="20"/>
          <w:szCs w:val="20"/>
        </w:rPr>
      </w:pPr>
      <w:r>
        <w:rPr>
          <w:sz w:val="20"/>
          <w:szCs w:val="20"/>
        </w:rPr>
        <w:t>In the event that a</w:t>
      </w:r>
      <w:r w:rsidR="00802F55" w:rsidRPr="00143419">
        <w:rPr>
          <w:sz w:val="20"/>
          <w:szCs w:val="20"/>
        </w:rPr>
        <w:t xml:space="preserve"> faculty member is notified in writing by the Provost that the rollover is being discontinued</w:t>
      </w:r>
      <w:r>
        <w:rPr>
          <w:sz w:val="20"/>
          <w:szCs w:val="20"/>
        </w:rPr>
        <w:t xml:space="preserve"> before the seventh year, the </w:t>
      </w:r>
      <w:r w:rsidR="00802F55" w:rsidRPr="00143419">
        <w:rPr>
          <w:sz w:val="20"/>
          <w:szCs w:val="20"/>
        </w:rPr>
        <w:t>faculty member’s new Letter of Agreement will reflect only the time remaining from the previous Letter (for instance, a three-year Letter would be reduced to a two</w:t>
      </w:r>
      <w:r w:rsidR="00802F55">
        <w:rPr>
          <w:sz w:val="20"/>
          <w:szCs w:val="20"/>
        </w:rPr>
        <w:t>-year Letter and a two-year Letter could be reduced to a one-year Letter). A three-year Letter reduced to a two-year Letter could be automatically rolled over as a two-year Letter, or could be further reduced to a one-year Letter, abiding by the February 15 notification deadline. A faculty member who has had a multi-year Letter reduced to a one-year Letter may apply for a new multi-year Letter upon satisfactory completion of three years of service.</w:t>
      </w:r>
    </w:p>
    <w:p w:rsidR="00802F55" w:rsidRDefault="00802F55" w:rsidP="00802F55">
      <w:pPr>
        <w:ind w:left="720"/>
        <w:jc w:val="both"/>
        <w:rPr>
          <w:sz w:val="20"/>
          <w:szCs w:val="20"/>
        </w:rPr>
      </w:pPr>
    </w:p>
    <w:p w:rsidR="006612AF" w:rsidRDefault="00E861D5"/>
    <w:sectPr w:rsidR="006612AF" w:rsidSect="0053341D">
      <w:pgSz w:w="12240" w:h="15840" w:code="1"/>
      <w:pgMar w:top="1440" w:right="1440" w:bottom="1440" w:left="1440" w:header="720" w:footer="720" w:gutter="0"/>
      <w:paperSrc w:first="260" w:other="26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6981"/>
    <w:multiLevelType w:val="multilevel"/>
    <w:tmpl w:val="BD4221F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584"/>
        </w:tabs>
        <w:ind w:left="1584" w:hanging="504"/>
      </w:pPr>
      <w:rPr>
        <w:rFonts w:hint="default"/>
      </w:rPr>
    </w:lvl>
    <w:lvl w:ilvl="4">
      <w:start w:val="1"/>
      <w:numFmt w:val="lowerLetter"/>
      <w:lvlText w:val="(%5)"/>
      <w:lvlJc w:val="left"/>
      <w:pPr>
        <w:tabs>
          <w:tab w:val="num" w:pos="1944"/>
        </w:tabs>
        <w:ind w:left="1944"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55"/>
    <w:rsid w:val="000C4856"/>
    <w:rsid w:val="000D00C6"/>
    <w:rsid w:val="001629D7"/>
    <w:rsid w:val="00194C4B"/>
    <w:rsid w:val="003B6F44"/>
    <w:rsid w:val="00414B25"/>
    <w:rsid w:val="0053341D"/>
    <w:rsid w:val="00802F55"/>
    <w:rsid w:val="00B03E69"/>
    <w:rsid w:val="00C973AB"/>
    <w:rsid w:val="00E10807"/>
    <w:rsid w:val="00E669F1"/>
    <w:rsid w:val="00E8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DA94"/>
  <w15:chartTrackingRefBased/>
  <w15:docId w15:val="{04D9C7F2-502E-460A-B3F8-B1F744F3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5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02F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2F55"/>
    <w:rPr>
      <w:rFonts w:ascii="Arial" w:eastAsia="Times New Roman" w:hAnsi="Arial" w:cs="Arial"/>
      <w:b/>
      <w:bCs/>
      <w:sz w:val="26"/>
      <w:szCs w:val="26"/>
    </w:rPr>
  </w:style>
  <w:style w:type="character" w:styleId="Hyperlink">
    <w:name w:val="Hyperlink"/>
    <w:basedOn w:val="DefaultParagraphFont"/>
    <w:uiPriority w:val="99"/>
    <w:rsid w:val="00802F55"/>
    <w:rPr>
      <w:color w:val="0000FF"/>
      <w:u w:val="single"/>
    </w:rPr>
  </w:style>
  <w:style w:type="paragraph" w:styleId="BodyTextIndent2">
    <w:name w:val="Body Text Indent 2"/>
    <w:basedOn w:val="Normal"/>
    <w:link w:val="BodyTextIndent2Char"/>
    <w:rsid w:val="00802F55"/>
    <w:pPr>
      <w:spacing w:after="120" w:line="480" w:lineRule="auto"/>
      <w:ind w:left="360"/>
    </w:pPr>
  </w:style>
  <w:style w:type="character" w:customStyle="1" w:styleId="BodyTextIndent2Char">
    <w:name w:val="Body Text Indent 2 Char"/>
    <w:basedOn w:val="DefaultParagraphFont"/>
    <w:link w:val="BodyTextIndent2"/>
    <w:rsid w:val="00802F55"/>
    <w:rPr>
      <w:rFonts w:ascii="Times New Roman" w:eastAsia="Times New Roman" w:hAnsi="Times New Roman" w:cs="Times New Roman"/>
      <w:sz w:val="24"/>
      <w:szCs w:val="24"/>
    </w:rPr>
  </w:style>
  <w:style w:type="paragraph" w:styleId="ListParagraph">
    <w:name w:val="List Paragraph"/>
    <w:basedOn w:val="Normal"/>
    <w:uiPriority w:val="99"/>
    <w:qFormat/>
    <w:rsid w:val="00802F55"/>
    <w:pPr>
      <w:ind w:left="720"/>
      <w:contextualSpacing/>
    </w:pPr>
  </w:style>
  <w:style w:type="paragraph" w:styleId="BalloonText">
    <w:name w:val="Balloon Text"/>
    <w:basedOn w:val="Normal"/>
    <w:link w:val="BalloonTextChar"/>
    <w:uiPriority w:val="99"/>
    <w:semiHidden/>
    <w:unhideWhenUsed/>
    <w:rsid w:val="00162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9D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86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pba.edu/ICS/Portlets/ICS/Handoutportlet/viewhandler.ashx?handout_id=e26113d9-2e7e-49bc-b234-f7a369d51a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pba.edu/ICS/Portlets/ICS/Handoutportlet/viewhandler.ashx?handout_id=36a2de29-facc-41b3-89c5-ae720c779bcd" TargetMode="External"/><Relationship Id="rId5" Type="http://schemas.openxmlformats.org/officeDocument/2006/relationships/hyperlink" Target="https://my.pba.edu/ICS/Portlets/ICS/Handoutportlet/viewhandler.ashx?handout_id=e26113d9-2e7e-49bc-b234-f7a369d51ab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KONYNENBELT</dc:creator>
  <cp:keywords/>
  <dc:description/>
  <cp:lastModifiedBy>DEBBIE KONYNENBELT</cp:lastModifiedBy>
  <cp:revision>3</cp:revision>
  <cp:lastPrinted>2021-02-16T13:01:00Z</cp:lastPrinted>
  <dcterms:created xsi:type="dcterms:W3CDTF">2021-05-27T20:32:00Z</dcterms:created>
  <dcterms:modified xsi:type="dcterms:W3CDTF">2021-05-27T20:35:00Z</dcterms:modified>
</cp:coreProperties>
</file>